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pPr>
      <w:r>
        <w:rPr>
          <w:b/>
          <w:bCs/>
          <w:color w:val="1B2A57"/>
          <w:sz w:val="34"/>
          <w:szCs w:val="34"/>
        </w:rPr>
        <w:t xml:space="preserve">Las 8 competencias clave de la LOMLOE</w:t>
      </w:r>
    </w:p>
    <w:p>
      <w:pPr>
        <w:spacing w:after="160"/>
      </w:pPr>
      <w:r>
        <w:rPr>
          <w:color w:val="4F5878"/>
          <w:sz w:val="20"/>
          <w:szCs w:val="20"/>
        </w:rPr>
        <w:t xml:space="preserve">Perfil de salida del alumnado al término de la enseñanza básica</w:t>
      </w:r>
    </w:p>
    <w:p>
      <w:pPr>
        <w:spacing w:after="80"/>
      </w:pPr>
      <w:r>
        <w:rPr>
          <w:color w:val="4F5878"/>
          <w:sz w:val="19"/>
          <w:szCs w:val="19"/>
        </w:rPr>
        <w:t xml:space="preserve">Todas las áreas contribuyen a todas las competencias clave: no hay jerarquía entre ellas ni una correspondencia exclusiva con un área.</w:t>
      </w:r>
    </w:p>
    <w:tbl>
      <w:tblPr>
        <w:tblW w:type="dxa" w:w="10466"/>
        <w:tblBorders>
          <w:top w:val="single" w:color="9AA3BF" w:sz="4"/>
          <w:left w:val="single" w:color="9AA3BF" w:sz="4"/>
          <w:bottom w:val="single" w:color="9AA3BF" w:sz="4"/>
          <w:right w:val="single" w:color="9AA3BF" w:sz="4"/>
          <w:insideH w:val="single" w:color="9AA3BF" w:sz="4"/>
          <w:insideV w:val="single" w:color="9AA3BF" w:sz="4"/>
        </w:tblBorders>
        <w:tblLayout w:type="fixed"/>
      </w:tblPr>
      <w:tblGrid>
        <w:gridCol w:w="1151"/>
        <w:gridCol w:w="2512"/>
        <w:gridCol w:w="4186"/>
        <w:gridCol w:w="2617"/>
      </w:tblGrid>
      <w:tr>
        <w:trPr>
          <w:cantSplit/>
          <w:tblHeader/>
        </w:trPr>
        <w:tc>
          <w:tcPr>
            <w:tcW w:type="dxa" w:w="1151"/>
            <w:shd w:fill="E8EBF5" w:val="clear"/>
            <w:tcMar>
              <w:top w:type="dxa" w:w="50"/>
              <w:left w:type="dxa" w:w="70"/>
              <w:bottom w:type="dxa" w:w="50"/>
              <w:right w:type="dxa" w:w="70"/>
            </w:tcMar>
            <w:vAlign w:val="center"/>
          </w:tcPr>
          <w:p>
            <w:pPr>
              <w:spacing w:after="0"/>
            </w:pPr>
            <w:r>
              <w:rPr>
                <w:b/>
                <w:bCs/>
                <w:color w:val="1B2A57"/>
                <w:sz w:val="18"/>
                <w:szCs w:val="18"/>
              </w:rPr>
              <w:t xml:space="preserve">Sigla</w:t>
            </w:r>
          </w:p>
        </w:tc>
        <w:tc>
          <w:tcPr>
            <w:tcW w:type="dxa" w:w="2512"/>
            <w:shd w:fill="E8EBF5" w:val="clear"/>
            <w:tcMar>
              <w:top w:type="dxa" w:w="50"/>
              <w:left w:type="dxa" w:w="70"/>
              <w:bottom w:type="dxa" w:w="50"/>
              <w:right w:type="dxa" w:w="70"/>
            </w:tcMar>
            <w:vAlign w:val="center"/>
          </w:tcPr>
          <w:p>
            <w:pPr>
              <w:spacing w:after="0"/>
            </w:pPr>
            <w:r>
              <w:rPr>
                <w:b/>
                <w:bCs/>
                <w:color w:val="1B2A57"/>
                <w:sz w:val="18"/>
                <w:szCs w:val="18"/>
              </w:rPr>
              <w:t xml:space="preserve">Competencia clave</w:t>
            </w:r>
          </w:p>
        </w:tc>
        <w:tc>
          <w:tcPr>
            <w:tcW w:type="dxa" w:w="4186"/>
            <w:shd w:fill="E8EBF5" w:val="clear"/>
            <w:tcMar>
              <w:top w:type="dxa" w:w="50"/>
              <w:left w:type="dxa" w:w="70"/>
              <w:bottom w:type="dxa" w:w="50"/>
              <w:right w:type="dxa" w:w="70"/>
            </w:tcMar>
            <w:vAlign w:val="center"/>
          </w:tcPr>
          <w:p>
            <w:pPr>
              <w:spacing w:after="0"/>
            </w:pPr>
            <w:r>
              <w:rPr>
                <w:b/>
                <w:bCs/>
                <w:color w:val="1B2A57"/>
                <w:sz w:val="18"/>
                <w:szCs w:val="18"/>
              </w:rPr>
              <w:t xml:space="preserve">En pocas palabras</w:t>
            </w:r>
          </w:p>
        </w:tc>
        <w:tc>
          <w:tcPr>
            <w:tcW w:type="dxa" w:w="2617"/>
            <w:shd w:fill="E8EBF5" w:val="clear"/>
            <w:tcMar>
              <w:top w:type="dxa" w:w="50"/>
              <w:left w:type="dxa" w:w="70"/>
              <w:bottom w:type="dxa" w:w="50"/>
              <w:right w:type="dxa" w:w="70"/>
            </w:tcMar>
            <w:vAlign w:val="center"/>
          </w:tcPr>
          <w:p>
            <w:pPr>
              <w:spacing w:after="0"/>
            </w:pPr>
            <w:r>
              <w:rPr>
                <w:b/>
                <w:bCs/>
                <w:color w:val="1B2A57"/>
                <w:sz w:val="18"/>
                <w:szCs w:val="18"/>
              </w:rPr>
              <w:t xml:space="preserve">En clase</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CCL</w:t>
            </w:r>
          </w:p>
        </w:tc>
        <w:tc>
          <w:tcPr>
            <w:tcW w:type="dxa" w:w="2512"/>
            <w:tcMar>
              <w:top w:type="dxa" w:w="50"/>
              <w:left w:type="dxa" w:w="70"/>
              <w:bottom w:type="dxa" w:w="50"/>
              <w:right w:type="dxa" w:w="70"/>
            </w:tcMar>
            <w:vAlign w:val="top"/>
          </w:tcPr>
          <w:p>
            <w:pPr>
              <w:spacing w:after="0"/>
            </w:pPr>
            <w:r>
              <w:rPr>
                <w:color w:val="1B2A57"/>
                <w:sz w:val="19"/>
                <w:szCs w:val="19"/>
              </w:rPr>
              <w:t xml:space="preserve">Competencia en comunicación lingüística</w:t>
            </w:r>
          </w:p>
        </w:tc>
        <w:tc>
          <w:tcPr>
            <w:tcW w:type="dxa" w:w="4186"/>
            <w:tcMar>
              <w:top w:type="dxa" w:w="50"/>
              <w:left w:type="dxa" w:w="70"/>
              <w:bottom w:type="dxa" w:w="50"/>
              <w:right w:type="dxa" w:w="70"/>
            </w:tcMar>
            <w:vAlign w:val="top"/>
          </w:tcPr>
          <w:p>
            <w:pPr>
              <w:spacing w:after="0"/>
            </w:pPr>
            <w:r>
              <w:rPr>
                <w:color w:val="1B2A57"/>
                <w:sz w:val="19"/>
                <w:szCs w:val="19"/>
              </w:rPr>
              <w:t xml:space="preserve">Comunicarse de forma oral, escrita, signada o multimodal: comprender, interpretar y valorar mensajes con sentido crítico y expresarse con coherencia y respeto.</w:t>
            </w:r>
          </w:p>
        </w:tc>
        <w:tc>
          <w:tcPr>
            <w:tcW w:type="dxa" w:w="2617"/>
            <w:tcMar>
              <w:top w:type="dxa" w:w="50"/>
              <w:left w:type="dxa" w:w="70"/>
              <w:bottom w:type="dxa" w:w="50"/>
              <w:right w:type="dxa" w:w="70"/>
            </w:tcMar>
            <w:vAlign w:val="top"/>
          </w:tcPr>
          <w:p>
            <w:pPr>
              <w:spacing w:after="0"/>
            </w:pPr>
            <w:r>
              <w:rPr>
                <w:color w:val="1B2A57"/>
                <w:sz w:val="19"/>
                <w:szCs w:val="19"/>
              </w:rPr>
              <w:t xml:space="preserve">Un debate con turnos, una exposición oral o reescribir un texto para otro público.</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CP</w:t>
            </w:r>
          </w:p>
        </w:tc>
        <w:tc>
          <w:tcPr>
            <w:tcW w:type="dxa" w:w="2512"/>
            <w:tcMar>
              <w:top w:type="dxa" w:w="50"/>
              <w:left w:type="dxa" w:w="70"/>
              <w:bottom w:type="dxa" w:w="50"/>
              <w:right w:type="dxa" w:w="70"/>
            </w:tcMar>
            <w:vAlign w:val="top"/>
          </w:tcPr>
          <w:p>
            <w:pPr>
              <w:spacing w:after="0"/>
            </w:pPr>
            <w:r>
              <w:rPr>
                <w:color w:val="1B2A57"/>
                <w:sz w:val="19"/>
                <w:szCs w:val="19"/>
              </w:rPr>
              <w:t xml:space="preserve">Competencia plurilingüe</w:t>
            </w:r>
          </w:p>
        </w:tc>
        <w:tc>
          <w:tcPr>
            <w:tcW w:type="dxa" w:w="4186"/>
            <w:tcMar>
              <w:top w:type="dxa" w:w="50"/>
              <w:left w:type="dxa" w:w="70"/>
              <w:bottom w:type="dxa" w:w="50"/>
              <w:right w:type="dxa" w:w="70"/>
            </w:tcMar>
            <w:vAlign w:val="top"/>
          </w:tcPr>
          <w:p>
            <w:pPr>
              <w:spacing w:after="0"/>
            </w:pPr>
            <w:r>
              <w:rPr>
                <w:color w:val="1B2A57"/>
                <w:sz w:val="19"/>
                <w:szCs w:val="19"/>
              </w:rPr>
              <w:t xml:space="preserve">Usar distintas lenguas, orales o signadas, para aprender y comunicarse, pasar de una a otra y valorar la diversidad lingüística y cultural.</w:t>
            </w:r>
          </w:p>
        </w:tc>
        <w:tc>
          <w:tcPr>
            <w:tcW w:type="dxa" w:w="2617"/>
            <w:tcMar>
              <w:top w:type="dxa" w:w="50"/>
              <w:left w:type="dxa" w:w="70"/>
              <w:bottom w:type="dxa" w:w="50"/>
              <w:right w:type="dxa" w:w="70"/>
            </w:tcMar>
            <w:vAlign w:val="top"/>
          </w:tcPr>
          <w:p>
            <w:pPr>
              <w:spacing w:after="0"/>
            </w:pPr>
            <w:r>
              <w:rPr>
                <w:color w:val="1B2A57"/>
                <w:sz w:val="19"/>
                <w:szCs w:val="19"/>
              </w:rPr>
              <w:t xml:space="preserve">Comparar cómo se dice algo en las lenguas de la clase o mediar entre dos compañeros con otra lengua.</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STEM</w:t>
            </w:r>
          </w:p>
        </w:tc>
        <w:tc>
          <w:tcPr>
            <w:tcW w:type="dxa" w:w="2512"/>
            <w:tcMar>
              <w:top w:type="dxa" w:w="50"/>
              <w:left w:type="dxa" w:w="70"/>
              <w:bottom w:type="dxa" w:w="50"/>
              <w:right w:type="dxa" w:w="70"/>
            </w:tcMar>
            <w:vAlign w:val="top"/>
          </w:tcPr>
          <w:p>
            <w:pPr>
              <w:spacing w:after="0"/>
            </w:pPr>
            <w:r>
              <w:rPr>
                <w:color w:val="1B2A57"/>
                <w:sz w:val="19"/>
                <w:szCs w:val="19"/>
              </w:rPr>
              <w:t xml:space="preserve">Competencia matemática y competencia en ciencia, tecnología e ingeniería</w:t>
            </w:r>
          </w:p>
        </w:tc>
        <w:tc>
          <w:tcPr>
            <w:tcW w:type="dxa" w:w="4186"/>
            <w:tcMar>
              <w:top w:type="dxa" w:w="50"/>
              <w:left w:type="dxa" w:w="70"/>
              <w:bottom w:type="dxa" w:w="50"/>
              <w:right w:type="dxa" w:w="70"/>
            </w:tcMar>
            <w:vAlign w:val="top"/>
          </w:tcPr>
          <w:p>
            <w:pPr>
              <w:spacing w:after="0"/>
            </w:pPr>
            <w:r>
              <w:rPr>
                <w:color w:val="1B2A57"/>
                <w:sz w:val="19"/>
                <w:szCs w:val="19"/>
              </w:rPr>
              <w:t xml:space="preserve">Entender el mundo con el razonamiento matemático, el método científico, la tecnología y la ingeniería, y usarlos para transformar el entorno de forma responsable.</w:t>
            </w:r>
          </w:p>
        </w:tc>
        <w:tc>
          <w:tcPr>
            <w:tcW w:type="dxa" w:w="2617"/>
            <w:tcMar>
              <w:top w:type="dxa" w:w="50"/>
              <w:left w:type="dxa" w:w="70"/>
              <w:bottom w:type="dxa" w:w="50"/>
              <w:right w:type="dxa" w:w="70"/>
            </w:tcMar>
            <w:vAlign w:val="top"/>
          </w:tcPr>
          <w:p>
            <w:pPr>
              <w:spacing w:after="0"/>
            </w:pPr>
            <w:r>
              <w:rPr>
                <w:color w:val="1B2A57"/>
                <w:sz w:val="19"/>
                <w:szCs w:val="19"/>
              </w:rPr>
              <w:t xml:space="preserve">Un experimento con hipótesis, un problema real de medidas o diseñar y probar un prototipo.</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CD</w:t>
            </w:r>
          </w:p>
        </w:tc>
        <w:tc>
          <w:tcPr>
            <w:tcW w:type="dxa" w:w="2512"/>
            <w:tcMar>
              <w:top w:type="dxa" w:w="50"/>
              <w:left w:type="dxa" w:w="70"/>
              <w:bottom w:type="dxa" w:w="50"/>
              <w:right w:type="dxa" w:w="70"/>
            </w:tcMar>
            <w:vAlign w:val="top"/>
          </w:tcPr>
          <w:p>
            <w:pPr>
              <w:spacing w:after="0"/>
            </w:pPr>
            <w:r>
              <w:rPr>
                <w:color w:val="1B2A57"/>
                <w:sz w:val="19"/>
                <w:szCs w:val="19"/>
              </w:rPr>
              <w:t xml:space="preserve">Competencia digital</w:t>
            </w:r>
          </w:p>
        </w:tc>
        <w:tc>
          <w:tcPr>
            <w:tcW w:type="dxa" w:w="4186"/>
            <w:tcMar>
              <w:top w:type="dxa" w:w="50"/>
              <w:left w:type="dxa" w:w="70"/>
              <w:bottom w:type="dxa" w:w="50"/>
              <w:right w:type="dxa" w:w="70"/>
            </w:tcMar>
            <w:vAlign w:val="top"/>
          </w:tcPr>
          <w:p>
            <w:pPr>
              <w:spacing w:after="0"/>
            </w:pPr>
            <w:r>
              <w:rPr>
                <w:color w:val="1B2A57"/>
                <w:sz w:val="19"/>
                <w:szCs w:val="19"/>
              </w:rPr>
              <w:t xml:space="preserve">Usar las tecnologías digitales de forma segura, saludable, sostenible, crítica y responsable para aprender, trabajar y participar en la sociedad.</w:t>
            </w:r>
          </w:p>
        </w:tc>
        <w:tc>
          <w:tcPr>
            <w:tcW w:type="dxa" w:w="2617"/>
            <w:tcMar>
              <w:top w:type="dxa" w:w="50"/>
              <w:left w:type="dxa" w:w="70"/>
              <w:bottom w:type="dxa" w:w="50"/>
              <w:right w:type="dxa" w:w="70"/>
            </w:tcMar>
            <w:vAlign w:val="top"/>
          </w:tcPr>
          <w:p>
            <w:pPr>
              <w:spacing w:after="0"/>
            </w:pPr>
            <w:r>
              <w:rPr>
                <w:color w:val="1B2A57"/>
                <w:sz w:val="19"/>
                <w:szCs w:val="19"/>
              </w:rPr>
              <w:t xml:space="preserve">Buscar y contrastar información, crear un contenido digital o cuidar la privacidad en la red.</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CPSAA</w:t>
            </w:r>
          </w:p>
        </w:tc>
        <w:tc>
          <w:tcPr>
            <w:tcW w:type="dxa" w:w="2512"/>
            <w:tcMar>
              <w:top w:type="dxa" w:w="50"/>
              <w:left w:type="dxa" w:w="70"/>
              <w:bottom w:type="dxa" w:w="50"/>
              <w:right w:type="dxa" w:w="70"/>
            </w:tcMar>
            <w:vAlign w:val="top"/>
          </w:tcPr>
          <w:p>
            <w:pPr>
              <w:spacing w:after="0"/>
            </w:pPr>
            <w:r>
              <w:rPr>
                <w:color w:val="1B2A57"/>
                <w:sz w:val="19"/>
                <w:szCs w:val="19"/>
              </w:rPr>
              <w:t xml:space="preserve">Competencia personal, social y de aprender a aprender</w:t>
            </w:r>
          </w:p>
        </w:tc>
        <w:tc>
          <w:tcPr>
            <w:tcW w:type="dxa" w:w="4186"/>
            <w:tcMar>
              <w:top w:type="dxa" w:w="50"/>
              <w:left w:type="dxa" w:w="70"/>
              <w:bottom w:type="dxa" w:w="50"/>
              <w:right w:type="dxa" w:w="70"/>
            </w:tcMar>
            <w:vAlign w:val="top"/>
          </w:tcPr>
          <w:p>
            <w:pPr>
              <w:spacing w:after="0"/>
            </w:pPr>
            <w:r>
              <w:rPr>
                <w:color w:val="1B2A57"/>
                <w:sz w:val="19"/>
                <w:szCs w:val="19"/>
              </w:rPr>
              <w:t xml:space="preserve">Conocerse y cuidarse, cuidar a los demás, colaborar, gestionar el tiempo y las emociones y saber cómo se aprende, a lo largo de toda la vida.</w:t>
            </w:r>
          </w:p>
        </w:tc>
        <w:tc>
          <w:tcPr>
            <w:tcW w:type="dxa" w:w="2617"/>
            <w:tcMar>
              <w:top w:type="dxa" w:w="50"/>
              <w:left w:type="dxa" w:w="70"/>
              <w:bottom w:type="dxa" w:w="50"/>
              <w:right w:type="dxa" w:w="70"/>
            </w:tcMar>
            <w:vAlign w:val="top"/>
          </w:tcPr>
          <w:p>
            <w:pPr>
              <w:spacing w:after="0"/>
            </w:pPr>
            <w:r>
              <w:rPr>
                <w:color w:val="1B2A57"/>
                <w:sz w:val="19"/>
                <w:szCs w:val="19"/>
              </w:rPr>
              <w:t xml:space="preserve">Planificar una tarea, revisar lo aprendido con una diana o resolver un conflicto del grupo.</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CC</w:t>
            </w:r>
          </w:p>
        </w:tc>
        <w:tc>
          <w:tcPr>
            <w:tcW w:type="dxa" w:w="2512"/>
            <w:tcMar>
              <w:top w:type="dxa" w:w="50"/>
              <w:left w:type="dxa" w:w="70"/>
              <w:bottom w:type="dxa" w:w="50"/>
              <w:right w:type="dxa" w:w="70"/>
            </w:tcMar>
            <w:vAlign w:val="top"/>
          </w:tcPr>
          <w:p>
            <w:pPr>
              <w:spacing w:after="0"/>
            </w:pPr>
            <w:r>
              <w:rPr>
                <w:color w:val="1B2A57"/>
                <w:sz w:val="19"/>
                <w:szCs w:val="19"/>
              </w:rPr>
              <w:t xml:space="preserve">Competencia ciudadana</w:t>
            </w:r>
          </w:p>
        </w:tc>
        <w:tc>
          <w:tcPr>
            <w:tcW w:type="dxa" w:w="4186"/>
            <w:tcMar>
              <w:top w:type="dxa" w:w="50"/>
              <w:left w:type="dxa" w:w="70"/>
              <w:bottom w:type="dxa" w:w="50"/>
              <w:right w:type="dxa" w:w="70"/>
            </w:tcMar>
            <w:vAlign w:val="top"/>
          </w:tcPr>
          <w:p>
            <w:pPr>
              <w:spacing w:after="0"/>
            </w:pPr>
            <w:r>
              <w:rPr>
                <w:color w:val="1B2A57"/>
                <w:sz w:val="19"/>
                <w:szCs w:val="19"/>
              </w:rPr>
              <w:t xml:space="preserve">Ejercer una ciudadanía responsable y participar en la vida social y cívica, con los valores democráticos, los derechos humanos y el compromiso con la sostenibilidad.</w:t>
            </w:r>
          </w:p>
        </w:tc>
        <w:tc>
          <w:tcPr>
            <w:tcW w:type="dxa" w:w="2617"/>
            <w:tcMar>
              <w:top w:type="dxa" w:w="50"/>
              <w:left w:type="dxa" w:w="70"/>
              <w:bottom w:type="dxa" w:w="50"/>
              <w:right w:type="dxa" w:w="70"/>
            </w:tcMar>
            <w:vAlign w:val="top"/>
          </w:tcPr>
          <w:p>
            <w:pPr>
              <w:spacing w:after="0"/>
            </w:pPr>
            <w:r>
              <w:rPr>
                <w:color w:val="1B2A57"/>
                <w:sz w:val="19"/>
                <w:szCs w:val="19"/>
              </w:rPr>
              <w:t xml:space="preserve">Una asamblea de clase, acordar normas o un proyecto sobre un problema del barrio.</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CE</w:t>
            </w:r>
          </w:p>
        </w:tc>
        <w:tc>
          <w:tcPr>
            <w:tcW w:type="dxa" w:w="2512"/>
            <w:tcMar>
              <w:top w:type="dxa" w:w="50"/>
              <w:left w:type="dxa" w:w="70"/>
              <w:bottom w:type="dxa" w:w="50"/>
              <w:right w:type="dxa" w:w="70"/>
            </w:tcMar>
            <w:vAlign w:val="top"/>
          </w:tcPr>
          <w:p>
            <w:pPr>
              <w:spacing w:after="0"/>
            </w:pPr>
            <w:r>
              <w:rPr>
                <w:color w:val="1B2A57"/>
                <w:sz w:val="19"/>
                <w:szCs w:val="19"/>
              </w:rPr>
              <w:t xml:space="preserve">Competencia emprendedora</w:t>
            </w:r>
          </w:p>
        </w:tc>
        <w:tc>
          <w:tcPr>
            <w:tcW w:type="dxa" w:w="4186"/>
            <w:tcMar>
              <w:top w:type="dxa" w:w="50"/>
              <w:left w:type="dxa" w:w="70"/>
              <w:bottom w:type="dxa" w:w="50"/>
              <w:right w:type="dxa" w:w="70"/>
            </w:tcMar>
            <w:vAlign w:val="top"/>
          </w:tcPr>
          <w:p>
            <w:pPr>
              <w:spacing w:after="0"/>
            </w:pPr>
            <w:r>
              <w:rPr>
                <w:color w:val="1B2A57"/>
                <w:sz w:val="19"/>
                <w:szCs w:val="19"/>
              </w:rPr>
              <w:t xml:space="preserve">Detectar necesidades y oportunidades, imaginar ideas y llevarlas a cabo en proyectos que aporten valor a otras personas, con creatividad y sentido ético.</w:t>
            </w:r>
          </w:p>
        </w:tc>
        <w:tc>
          <w:tcPr>
            <w:tcW w:type="dxa" w:w="2617"/>
            <w:tcMar>
              <w:top w:type="dxa" w:w="50"/>
              <w:left w:type="dxa" w:w="70"/>
              <w:bottom w:type="dxa" w:w="50"/>
              <w:right w:type="dxa" w:w="70"/>
            </w:tcMar>
            <w:vAlign w:val="top"/>
          </w:tcPr>
          <w:p>
            <w:pPr>
              <w:spacing w:after="0"/>
            </w:pPr>
            <w:r>
              <w:rPr>
                <w:color w:val="1B2A57"/>
                <w:sz w:val="19"/>
                <w:szCs w:val="19"/>
              </w:rPr>
              <w:t xml:space="preserve">Un mercadillo solidario, una campaña para el centro o un proyecto con un destinatario real.</w:t>
            </w:r>
          </w:p>
        </w:tc>
      </w:tr>
      <w:tr>
        <w:trPr>
          <w:cantSplit/>
        </w:trPr>
        <w:tc>
          <w:tcPr>
            <w:tcW w:type="dxa" w:w="1151"/>
            <w:tcMar>
              <w:top w:type="dxa" w:w="50"/>
              <w:left w:type="dxa" w:w="70"/>
              <w:bottom w:type="dxa" w:w="50"/>
              <w:right w:type="dxa" w:w="70"/>
            </w:tcMar>
            <w:vAlign w:val="top"/>
          </w:tcPr>
          <w:p>
            <w:pPr>
              <w:spacing w:after="0"/>
            </w:pPr>
            <w:r>
              <w:rPr>
                <w:b/>
                <w:bCs/>
                <w:color w:val="1B2A57"/>
                <w:sz w:val="19"/>
                <w:szCs w:val="19"/>
              </w:rPr>
              <w:t xml:space="preserve">CCEC</w:t>
            </w:r>
          </w:p>
        </w:tc>
        <w:tc>
          <w:tcPr>
            <w:tcW w:type="dxa" w:w="2512"/>
            <w:tcMar>
              <w:top w:type="dxa" w:w="50"/>
              <w:left w:type="dxa" w:w="70"/>
              <w:bottom w:type="dxa" w:w="50"/>
              <w:right w:type="dxa" w:w="70"/>
            </w:tcMar>
            <w:vAlign w:val="top"/>
          </w:tcPr>
          <w:p>
            <w:pPr>
              <w:spacing w:after="0"/>
            </w:pPr>
            <w:r>
              <w:rPr>
                <w:color w:val="1B2A57"/>
                <w:sz w:val="19"/>
                <w:szCs w:val="19"/>
              </w:rPr>
              <w:t xml:space="preserve">Competencia en conciencia y expresión culturales</w:t>
            </w:r>
          </w:p>
        </w:tc>
        <w:tc>
          <w:tcPr>
            <w:tcW w:type="dxa" w:w="4186"/>
            <w:tcMar>
              <w:top w:type="dxa" w:w="50"/>
              <w:left w:type="dxa" w:w="70"/>
              <w:bottom w:type="dxa" w:w="50"/>
              <w:right w:type="dxa" w:w="70"/>
            </w:tcMar>
            <w:vAlign w:val="top"/>
          </w:tcPr>
          <w:p>
            <w:pPr>
              <w:spacing w:after="0"/>
            </w:pPr>
            <w:r>
              <w:rPr>
                <w:color w:val="1B2A57"/>
                <w:sz w:val="19"/>
                <w:szCs w:val="19"/>
              </w:rPr>
              <w:t xml:space="preserve">Comprender y respetar cómo se expresan ideas y emociones en las distintas culturas y artes, conocer el patrimonio y expresarse con creatividad.</w:t>
            </w:r>
          </w:p>
        </w:tc>
        <w:tc>
          <w:tcPr>
            <w:tcW w:type="dxa" w:w="2617"/>
            <w:tcMar>
              <w:top w:type="dxa" w:w="50"/>
              <w:left w:type="dxa" w:w="70"/>
              <w:bottom w:type="dxa" w:w="50"/>
              <w:right w:type="dxa" w:w="70"/>
            </w:tcMar>
            <w:vAlign w:val="top"/>
          </w:tcPr>
          <w:p>
            <w:pPr>
              <w:spacing w:after="0"/>
            </w:pPr>
            <w:r>
              <w:rPr>
                <w:color w:val="1B2A57"/>
                <w:sz w:val="19"/>
                <w:szCs w:val="19"/>
              </w:rPr>
              <w:t xml:space="preserve">Analizar una obra, montar una dramatización o crear una pieza para una exposición.</w:t>
            </w:r>
          </w:p>
        </w:tc>
      </w:tr>
    </w:tbl>
    <w:p>
      <w:pPr>
        <w:spacing w:after="80"/>
      </w:pPr>
      <w:r>
        <w:rPr>
          <w:color w:val="4F5878"/>
          <w:sz w:val="19"/>
          <w:szCs w:val="19"/>
        </w:rPr>
        <w:t xml:space="preserve">Descriptores operativos: CCL1 a CCL5 · CP1 a CP3 · STEM1 a STEM5 · CD1 a CD5 · CPSAA1 a CPSAA5 · CC1 a CC4 · CE1 a CE3 · CCEC1 a CCEC4. Cada uno, con su texto al acabar la Primaria y la enseñanza básica, en la tabla de descriptores.</w:t>
      </w:r>
    </w:p>
    <w:p>
      <w:pPr>
        <w:spacing w:after="60"/>
      </w:pPr>
      <w:r>
        <w:rPr>
          <w:color w:val="4F5878"/>
          <w:sz w:val="16"/>
          <w:szCs w:val="16"/>
        </w:rPr>
        <w:t xml:space="preserve">Fuente: Real Decreto 157/2022 (Educación Primaria) y Real Decreto 217/2022 (ESO), anexo I, «Perfil de salida del alumnado al término de la enseñanza básica». BOE, texto consolidado consultado el 24 de octubre de 2026. Los descriptores son el texto literal de la norma; los resúmenes son de Aulapedia.</w:t>
      </w:r>
    </w:p>
    <w:p>
      <w:hyperlink w:history="1" r:id="rIdj7bjzgdacfaqkc0xvchzb">
        <w:r>
          <w:rPr>
            <w:rStyle w:val="Hyperlink"/>
            <w:sz w:val="16"/>
            <w:szCs w:val="16"/>
          </w:rPr>
          <w:t xml:space="preserve">https://aulapedia.com/docentes/competencias-clave/</w:t>
        </w:r>
      </w:hyperlink>
    </w:p>
    <w:p>
      <w:pPr>
        <w:spacing w:after="0"/>
      </w:pPr>
      <w:r>
        <w:rPr>
          <w:color w:val="4F5878"/>
          <w:sz w:val="16"/>
          <w:szCs w:val="16"/>
        </w:rPr>
        <w:t xml:space="preserve">Hecho con Aulapedia · aulapedia.com</w:t>
      </w:r>
    </w:p>
    <w:sectPr>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B2A57"/>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j7bjzgdacfaqkc0xvchzb" Type="http://schemas.openxmlformats.org/officeDocument/2006/relationships/hyperlink" Target="https://aulapedia.com/docentes/competencias-clav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8 competencias clave de la LOMLOE</dc:title>
  <dc:creator>Aulapedia</dc:creator>
  <dc:description>Perfil de salida del alumnado al término de la enseñanza básica</dc:description>
  <cp:lastModifiedBy>Un-named</cp:lastModifiedBy>
  <cp:revision>1</cp:revision>
  <dcterms:created xsi:type="dcterms:W3CDTF">2026-10-28T16:14:57.473Z</dcterms:created>
  <dcterms:modified xsi:type="dcterms:W3CDTF">2026-10-28T16:14:57.473Z</dcterms:modified>
</cp:coreProperties>
</file>

<file path=docProps/custom.xml><?xml version="1.0" encoding="utf-8"?>
<Properties xmlns="http://schemas.openxmlformats.org/officeDocument/2006/custom-properties" xmlns:vt="http://schemas.openxmlformats.org/officeDocument/2006/docPropsVTypes"/>
</file>