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</w:pPr>
      <w:r>
        <w:rPr>
          <w:b/>
          <w:bCs/>
          <w:color w:val="1B2A57"/>
          <w:sz w:val="34"/>
          <w:szCs w:val="34"/>
        </w:rPr>
        <w:t xml:space="preserve">Mapa del currículum fundamental (MCCEMS 2025)</w:t>
      </w:r>
    </w:p>
    <w:p>
      <w:pPr>
        <w:spacing w:after="160"/>
      </w:pPr>
      <w:r>
        <w:rPr>
          <w:color w:val="4F5878"/>
          <w:sz w:val="20"/>
          <w:szCs w:val="20"/>
        </w:rPr>
        <w:t xml:space="preserve">Asignaturas obligatorias del componente de formación fundamental por semestre, con las horas a la semana de los programas de la DGB.</w:t>
      </w:r>
    </w:p>
    <w:tbl>
      <w:tblPr>
        <w:tblW w:type="dxa" w:w="14400"/>
        <w:tblBorders>
          <w:top w:val="single" w:color="9AA3BF" w:sz="4"/>
          <w:left w:val="single" w:color="9AA3BF" w:sz="4"/>
          <w:bottom w:val="single" w:color="9AA3BF" w:sz="4"/>
          <w:right w:val="single" w:color="9AA3BF" w:sz="4"/>
          <w:insideH w:val="single" w:color="9AA3BF" w:sz="4"/>
          <w:insideV w:val="single" w:color="9AA3BF" w:sz="4"/>
        </w:tblBorders>
        <w:tblLayout w:type="fixed"/>
      </w:tblPr>
      <w:tblGrid>
        <w:gridCol w:w="1930"/>
        <w:gridCol w:w="2078"/>
        <w:gridCol w:w="2078"/>
        <w:gridCol w:w="2078"/>
        <w:gridCol w:w="2078"/>
        <w:gridCol w:w="2078"/>
        <w:gridCol w:w="2078"/>
      </w:tblGrid>
      <w:tr>
        <w:trPr>
          <w:cantSplit/>
          <w:tblHeader/>
        </w:trPr>
        <w:tc>
          <w:tcPr>
            <w:tcW w:type="dxa" w:w="1930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Área (artículo 11)</w:t>
            </w:r>
          </w:p>
        </w:tc>
        <w:tc>
          <w:tcPr>
            <w:tcW w:type="dxa" w:w="2078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1.º semestre</w:t>
            </w:r>
          </w:p>
        </w:tc>
        <w:tc>
          <w:tcPr>
            <w:tcW w:type="dxa" w:w="2078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2.º semestre</w:t>
            </w:r>
          </w:p>
        </w:tc>
        <w:tc>
          <w:tcPr>
            <w:tcW w:type="dxa" w:w="2078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3.º semestre</w:t>
            </w:r>
          </w:p>
        </w:tc>
        <w:tc>
          <w:tcPr>
            <w:tcW w:type="dxa" w:w="2078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4.º semestre</w:t>
            </w:r>
          </w:p>
        </w:tc>
        <w:tc>
          <w:tcPr>
            <w:tcW w:type="dxa" w:w="2078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5.º semestre</w:t>
            </w:r>
          </w:p>
        </w:tc>
        <w:tc>
          <w:tcPr>
            <w:tcW w:type="dxa" w:w="2078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6.º semestre</w:t>
            </w:r>
          </w:p>
        </w:tc>
      </w:tr>
      <w:tr>
        <w:trPr>
          <w:cantSplit/>
          <w:trHeight w:val="520" w:hRule="atLeast"/>
        </w:trPr>
        <w:tc>
          <w:tcPr>
            <w:tcW w:type="dxa" w:w="193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Lengua y Comunicación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 · 3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Leer y escribir para pensarnos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II · 3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Libertad para imaginar, poder para comunicar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III · 3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Descubrir culturas, apropiarse de las palabras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8"/>
                <w:szCs w:val="18"/>
              </w:rPr>
              <w:t xml:space="preserve">—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8"/>
                <w:szCs w:val="18"/>
              </w:rPr>
              <w:t xml:space="preserve">—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8"/>
                <w:szCs w:val="18"/>
              </w:rPr>
              <w:t xml:space="preserve">—</w:t>
            </w:r>
          </w:p>
        </w:tc>
      </w:tr>
      <w:tr>
        <w:trPr>
          <w:cantSplit/>
          <w:trHeight w:val="520" w:hRule="atLeast"/>
        </w:trPr>
        <w:tc>
          <w:tcPr>
            <w:tcW w:type="dxa" w:w="193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Pensamiento Matemático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 · 4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Pensamiento aritmético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II · 4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Introducción al álgebra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III · 4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Pensamiento algebraico e introducción a geometría plana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IV * · 4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Trigonometría y geometría analítica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V * · 5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Cálculo diferencial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VI * · 5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Pensamiento estadístico y probabilístico</w:t>
            </w:r>
          </w:p>
        </w:tc>
      </w:tr>
      <w:tr>
        <w:trPr>
          <w:cantSplit/>
          <w:trHeight w:val="520" w:hRule="atLeast"/>
        </w:trPr>
        <w:tc>
          <w:tcPr>
            <w:tcW w:type="dxa" w:w="193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Ciencias Naturales, Experimentales y Tecnología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 · 4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Invitación a la ciencia. Naturaleza de la materia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II * · 4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El poder de la energía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III * · 4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Nuestro hogar. El sistema terrestre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IV * · 4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El poder de la química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V · 4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Del átomo al universo. Fuerza y Energía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VI · 4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¿Qué es la vida? Evolución y diversidad biológica</w:t>
            </w:r>
          </w:p>
        </w:tc>
      </w:tr>
      <w:tr>
        <w:trPr>
          <w:cantSplit/>
          <w:trHeight w:val="520" w:hRule="atLeast"/>
        </w:trPr>
        <w:tc>
          <w:tcPr>
            <w:tcW w:type="dxa" w:w="193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Ciencias Sociales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 * · 2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Estado, ciudadanía y relaciones de poder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II · 2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Organización, relaciones sociales y económicas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8"/>
                <w:szCs w:val="18"/>
              </w:rPr>
              <w:t xml:space="preserve">—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III · 2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Las dinámicas de la realidad actual: la condición estudiantil al centro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8"/>
                <w:szCs w:val="18"/>
              </w:rPr>
              <w:t xml:space="preserve">—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8"/>
                <w:szCs w:val="18"/>
              </w:rPr>
              <w:t xml:space="preserve">—</w:t>
            </w:r>
          </w:p>
        </w:tc>
      </w:tr>
      <w:tr>
        <w:trPr>
          <w:cantSplit/>
          <w:trHeight w:val="520" w:hRule="atLeast"/>
        </w:trPr>
        <w:tc>
          <w:tcPr>
            <w:tcW w:type="dxa" w:w="193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Conciencia Histórica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8"/>
                <w:szCs w:val="18"/>
              </w:rPr>
              <w:t xml:space="preserve">—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8"/>
                <w:szCs w:val="18"/>
              </w:rPr>
              <w:t xml:space="preserve">—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8"/>
                <w:szCs w:val="18"/>
              </w:rPr>
              <w:t xml:space="preserve">—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 · 3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Coordenadas de la Historia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II · 3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La experiencia histórica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III · 3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Navegar en el tiempo: investigaciones históricas</w:t>
            </w:r>
          </w:p>
        </w:tc>
      </w:tr>
      <w:tr>
        <w:trPr>
          <w:cantSplit/>
          <w:trHeight w:val="520" w:hRule="atLeast"/>
        </w:trPr>
        <w:tc>
          <w:tcPr>
            <w:tcW w:type="dxa" w:w="193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Pensamiento Filosófico y Humanidades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 · 4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El ejercicio de filosofar y la perspectiva humanista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II · 4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Las reflexiones filosóficas sobre el Conocer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III · 5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Las reflexiones filosóficas sobre el Hacer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8"/>
                <w:szCs w:val="18"/>
              </w:rPr>
              <w:t xml:space="preserve">—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8"/>
                <w:szCs w:val="18"/>
              </w:rPr>
              <w:t xml:space="preserve">—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8"/>
                <w:szCs w:val="18"/>
              </w:rPr>
              <w:t xml:space="preserve">—</w:t>
            </w:r>
          </w:p>
        </w:tc>
      </w:tr>
      <w:tr>
        <w:trPr>
          <w:cantSplit/>
          <w:trHeight w:val="520" w:hRule="atLeast"/>
        </w:trPr>
        <w:tc>
          <w:tcPr>
            <w:tcW w:type="dxa" w:w="193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Cultura Digital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 · 3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Ciudadanía digital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II · 2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Aprendizaje individual y colaborativo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8"/>
                <w:szCs w:val="18"/>
              </w:rPr>
              <w:t xml:space="preserve">—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8"/>
                <w:szCs w:val="18"/>
              </w:rPr>
              <w:t xml:space="preserve">—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8"/>
                <w:szCs w:val="18"/>
              </w:rPr>
              <w:t xml:space="preserve">—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III * · 1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Uso y difusión del conocimiento</w:t>
            </w:r>
          </w:p>
        </w:tc>
      </w:tr>
      <w:tr>
        <w:trPr>
          <w:cantSplit/>
          <w:trHeight w:val="520" w:hRule="atLeast"/>
        </w:trPr>
        <w:tc>
          <w:tcPr>
            <w:tcW w:type="dxa" w:w="193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Inglés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 · 3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To Be, or Not to Be, That Is the Question (A1)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II · 3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These Are a Few of My Favorite Things (A1+)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III · 3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What We Were, We Share (A2)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IV · 3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Should I Stay or Should I Go? (A2+)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V * · 5 h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4"/>
                <w:szCs w:val="14"/>
              </w:rPr>
              <w:t xml:space="preserve">We Are the Champions (A2+/B1)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8"/>
                <w:szCs w:val="18"/>
              </w:rPr>
              <w:t xml:space="preserve">—</w:t>
            </w:r>
          </w:p>
        </w:tc>
      </w:tr>
      <w:tr>
        <w:trPr>
          <w:cantSplit/>
          <w:trHeight w:val="520" w:hRule="atLeast"/>
        </w:trPr>
        <w:tc>
          <w:tcPr>
            <w:tcW w:type="dxa" w:w="193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7"/>
                <w:szCs w:val="17"/>
              </w:rPr>
              <w:t xml:space="preserve">Horas a la semana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9"/>
                <w:szCs w:val="19"/>
              </w:rPr>
              <w:t xml:space="preserve">23 h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9"/>
                <w:szCs w:val="19"/>
              </w:rPr>
              <w:t xml:space="preserve">22 h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9"/>
                <w:szCs w:val="19"/>
              </w:rPr>
              <w:t xml:space="preserve">19 h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9"/>
                <w:szCs w:val="19"/>
              </w:rPr>
              <w:t xml:space="preserve">16 h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9"/>
                <w:szCs w:val="19"/>
              </w:rPr>
              <w:t xml:space="preserve">17 h</w:t>
            </w:r>
          </w:p>
        </w:tc>
        <w:tc>
          <w:tcPr>
            <w:tcW w:type="dxa" w:w="2078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9"/>
                <w:szCs w:val="19"/>
              </w:rPr>
              <w:t xml:space="preserve">13 h</w:t>
            </w:r>
          </w:p>
        </w:tc>
      </w:tr>
    </w:tbl>
    <w:p>
      <w:pPr>
        <w:spacing w:after="80"/>
      </w:pPr>
      <w:r>
        <w:rPr>
          <w:color w:val="4F5878"/>
          <w:sz w:val="19"/>
          <w:szCs w:val="19"/>
        </w:rPr>
        <w:t xml:space="preserve">* Según la tabla del artículo 9 del Anexo, estas asignaturas «podrían impartirse» como parte del componente de formación fundamental extendida (Inglés V, también como optativa). Las horas y el semestre son los de los programas de la DGB: tu subsistema puede organizarlos de otra forma. Total de horas: suma de Aulapedia.</w:t>
      </w:r>
    </w:p>
    <w:p>
      <w:pPr>
        <w:pStyle w:val="Heading2"/>
        <w:keepNext/>
        <w:pageBreakBefore/>
        <w:spacing w:after="80" w:before="200"/>
      </w:pPr>
      <w:r>
        <w:rPr>
          <w:b/>
          <w:bCs/>
          <w:color w:val="1B2A57"/>
          <w:sz w:val="24"/>
          <w:szCs w:val="24"/>
        </w:rPr>
        <w:t xml:space="preserve"/>
      </w:r>
    </w:p>
    <w:p>
      <w:pPr>
        <w:pStyle w:val="Heading2"/>
        <w:keepNext/>
        <w:spacing w:after="80" w:before="200"/>
      </w:pPr>
      <w:r>
        <w:rPr>
          <w:b/>
          <w:bCs/>
          <w:color w:val="1B2A57"/>
          <w:sz w:val="24"/>
          <w:szCs w:val="24"/>
        </w:rPr>
        <w:t xml:space="preserve">Organizador de mi asignatura</w:t>
      </w:r>
    </w:p>
    <w:p>
      <w:pPr>
        <w:spacing w:after="80"/>
      </w:pPr>
      <w:r>
        <w:rPr>
          <w:color w:val="4F5878"/>
          <w:sz w:val="17"/>
          <w:szCs w:val="17"/>
        </w:rPr>
        <w:t xml:space="preserve">Copia la meta educativa y los propósitos formativos del programa de tu asignatura y reparte los contenidos por semanas.</w:t>
      </w:r>
    </w:p>
    <w:p>
      <w:pPr>
        <w:spacing w:after="120"/>
      </w:pPr>
      <w:r>
        <w:rPr>
          <w:b/>
          <w:bCs/>
          <w:color w:val="4F5878"/>
          <w:sz w:val="19"/>
          <w:szCs w:val="19"/>
        </w:rPr>
        <w:t xml:space="preserve">Asignatura: </w:t>
      </w:r>
      <w:r>
        <w:rPr>
          <w:color w:val="1B2A57"/>
          <w:sz w:val="19"/>
          <w:szCs w:val="19"/>
        </w:rPr>
        <w:t xml:space="preserve">______________________</w:t>
      </w:r>
      <w:r>
        <w:rPr>
          <w:b/>
          <w:bCs/>
          <w:color w:val="4F5878"/>
          <w:sz w:val="19"/>
          <w:szCs w:val="19"/>
        </w:rPr>
        <w:t xml:space="preserve">     Semestre: </w:t>
      </w:r>
      <w:r>
        <w:rPr>
          <w:color w:val="1B2A57"/>
          <w:sz w:val="19"/>
          <w:szCs w:val="19"/>
        </w:rPr>
        <w:t xml:space="preserve">______________________</w:t>
      </w:r>
      <w:r>
        <w:rPr>
          <w:b/>
          <w:bCs/>
          <w:color w:val="4F5878"/>
          <w:sz w:val="19"/>
          <w:szCs w:val="19"/>
        </w:rPr>
        <w:t xml:space="preserve">     Horas a la semana: </w:t>
      </w:r>
      <w:r>
        <w:rPr>
          <w:color w:val="1B2A57"/>
          <w:sz w:val="19"/>
          <w:szCs w:val="19"/>
        </w:rPr>
        <w:t xml:space="preserve">______________________</w:t>
      </w:r>
      <w:r>
        <w:rPr>
          <w:b/>
          <w:bCs/>
          <w:color w:val="4F5878"/>
          <w:sz w:val="19"/>
          <w:szCs w:val="19"/>
        </w:rPr>
        <w:t xml:space="preserve">     Grupo: </w:t>
      </w:r>
      <w:r>
        <w:rPr>
          <w:color w:val="1B2A57"/>
          <w:sz w:val="19"/>
          <w:szCs w:val="19"/>
        </w:rPr>
        <w:t xml:space="preserve">______________________</w:t>
      </w:r>
    </w:p>
    <w:p>
      <w:pPr>
        <w:pStyle w:val="Heading2"/>
        <w:keepNext/>
        <w:spacing w:after="80" w:before="200"/>
      </w:pPr>
      <w:r>
        <w:rPr>
          <w:b/>
          <w:bCs/>
          <w:color w:val="1B2A57"/>
          <w:sz w:val="24"/>
          <w:szCs w:val="24"/>
        </w:rPr>
        <w:t xml:space="preserve">Meta educativa (del programa)</w:t>
      </w:r>
    </w:p>
    <w:p>
      <w:pPr>
        <w:pBdr>
          <w:bottom w:val="single" w:color="A7ADC2" w:sz="4" w:space="1"/>
        </w:pBdr>
        <w:spacing w:after="0" w:before="320"/>
      </w:pPr>
    </w:p>
    <w:p>
      <w:pPr>
        <w:pBdr>
          <w:bottom w:val="single" w:color="A7ADC2" w:sz="4" w:space="1"/>
        </w:pBdr>
        <w:spacing w:after="0" w:before="320"/>
      </w:pPr>
    </w:p>
    <w:tbl>
      <w:tblPr>
        <w:tblW w:type="dxa" w:w="14400"/>
        <w:tblBorders>
          <w:top w:val="single" w:color="9AA3BF" w:sz="4"/>
          <w:left w:val="single" w:color="9AA3BF" w:sz="4"/>
          <w:bottom w:val="single" w:color="9AA3BF" w:sz="4"/>
          <w:right w:val="single" w:color="9AA3BF" w:sz="4"/>
          <w:insideH w:val="single" w:color="9AA3BF" w:sz="4"/>
          <w:insideV w:val="single" w:color="9AA3BF" w:sz="4"/>
        </w:tblBorders>
        <w:tblLayout w:type="fixed"/>
      </w:tblPr>
      <w:tblGrid>
        <w:gridCol w:w="3497"/>
        <w:gridCol w:w="3909"/>
        <w:gridCol w:w="1440"/>
        <w:gridCol w:w="4526"/>
        <w:gridCol w:w="1029"/>
      </w:tblGrid>
      <w:tr>
        <w:trPr>
          <w:cantSplit/>
          <w:tblHeader/>
        </w:trPr>
        <w:tc>
          <w:tcPr>
            <w:tcW w:type="dxa" w:w="3497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Propósito formativo</w:t>
            </w:r>
          </w:p>
        </w:tc>
        <w:tc>
          <w:tcPr>
            <w:tcW w:type="dxa" w:w="3909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Contenidos formativos</w:t>
            </w:r>
          </w:p>
        </w:tc>
        <w:tc>
          <w:tcPr>
            <w:tcW w:type="dxa" w:w="1440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Semanas</w:t>
            </w:r>
          </w:p>
        </w:tc>
        <w:tc>
          <w:tcPr>
            <w:tcW w:type="dxa" w:w="4526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Actividades y evidencias</w:t>
            </w:r>
          </w:p>
        </w:tc>
        <w:tc>
          <w:tcPr>
            <w:tcW w:type="dxa" w:w="1029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Hecho</w:t>
            </w:r>
          </w:p>
        </w:tc>
      </w:tr>
      <w:tr>
        <w:trPr>
          <w:cantSplit/>
          <w:trHeight w:val="1000" w:hRule="atLeast"/>
        </w:trPr>
        <w:tc>
          <w:tcPr>
            <w:tcW w:type="dxa" w:w="3497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390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452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029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1000" w:hRule="atLeast"/>
        </w:trPr>
        <w:tc>
          <w:tcPr>
            <w:tcW w:type="dxa" w:w="3497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390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452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029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1000" w:hRule="atLeast"/>
        </w:trPr>
        <w:tc>
          <w:tcPr>
            <w:tcW w:type="dxa" w:w="3497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390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452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029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1000" w:hRule="atLeast"/>
        </w:trPr>
        <w:tc>
          <w:tcPr>
            <w:tcW w:type="dxa" w:w="3497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390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452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029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1000" w:hRule="atLeast"/>
        </w:trPr>
        <w:tc>
          <w:tcPr>
            <w:tcW w:type="dxa" w:w="3497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390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452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029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Asignaturas: Anexo del Acuerdo 21/08/25, capítulo II, sección III, apartado I («Del Currículum fundamental del MCCEMS»), artículo 11 (DOF, 15 de agosto de 2025). Subtítulos, semestre y horas: SEP-SEMS, «Marco Curricular Común de la Educación Media Superior. Modelo Educativo 2025», programas por área publicados por la DGB (dgb.sep.gob.mx/programas-de-estudio). Consultado el 11 de octubre de 2026.</w:t>
      </w:r>
    </w:p>
    <w:p>
      <w:pPr>
        <w:spacing w:after="60"/>
      </w:pPr>
      <w:r>
        <w:rPr>
          <w:color w:val="4F5878"/>
          <w:sz w:val="16"/>
          <w:szCs w:val="16"/>
        </w:rPr>
        <w:t xml:space="preserve">Material de apoyo de Aulapedia, no es un documento oficial de la SEP. Los nombres de las asignaturas y las horas se copian de su fuente; el organizador es de Aulapedia.</w:t>
      </w:r>
    </w:p>
    <w:p>
      <w:hyperlink w:history="1" r:id="rIdlwcedzlgepn_umjraet6k">
        <w:r>
          <w:rPr>
            <w:rStyle w:val="Hyperlink"/>
            <w:sz w:val="16"/>
            <w:szCs w:val="16"/>
          </w:rPr>
          <w:t xml:space="preserve">https://aulapedia.com/mexico/bachillerato/</w:t>
        </w:r>
      </w:hyperlink>
    </w:p>
    <w:p>
      <w:pPr>
        <w:spacing w:after="0"/>
      </w:pPr>
      <w:r>
        <w:rPr>
          <w:color w:val="4F5878"/>
          <w:sz w:val="16"/>
          <w:szCs w:val="16"/>
        </w:rPr>
        <w:t xml:space="preserve">Hecho con Aulapedia · aulapedia.com</w:t>
      </w:r>
    </w:p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lwcedzlgepn_umjraet6k" Type="http://schemas.openxmlformats.org/officeDocument/2006/relationships/hyperlink" Target="https://aulapedia.com/mexico/bachillerato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Mapa del currículum fundamental (MCCEMS 2025)</dc:title>
  <dc:creator>Aulapedia</dc:creator>
  <dc:description>Asignaturas obligatorias del componente de formación fundamental por semestre, con las horas a la semana de los programas de la DGB.</dc:description>
  <cp:lastModifiedBy>Un-named</cp:lastModifiedBy>
  <cp:revision>1</cp:revision>
  <dcterms:created xsi:type="dcterms:W3CDTF">2026-10-28T16:16:16.938Z</dcterms:created>
  <dcterms:modified xsi:type="dcterms:W3CDTF">2026-10-28T16:16:16.938Z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