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1B2A57"/>
          <w:sz w:val="34"/>
          <w:szCs w:val="34"/>
        </w:rPr>
        <w:t xml:space="preserve">Campos formativos y disciplinas por fase</w:t>
      </w:r>
    </w:p>
    <w:p>
      <w:pPr>
        <w:spacing w:after="160"/>
      </w:pPr>
      <w:r>
        <w:rPr>
          <w:color w:val="4F5878"/>
          <w:sz w:val="20"/>
          <w:szCs w:val="20"/>
        </w:rPr>
        <w:t xml:space="preserve">Los cuatro campos formativos de la Nueva Escuela Mexicana, con el número de contenidos y PDA de cada programa sintético y las disciplinas de secundaria.</w:t>
      </w:r>
    </w:p>
    <w:tbl>
      <w:tblPr>
        <w:tblW w:type="dxa" w:w="14400"/>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810"/>
        <w:gridCol w:w="3148"/>
        <w:gridCol w:w="3148"/>
        <w:gridCol w:w="3148"/>
        <w:gridCol w:w="3148"/>
      </w:tblGrid>
      <w:tr>
        <w:trPr>
          <w:cantSplit/>
          <w:tblHeader/>
        </w:trPr>
        <w:tc>
          <w:tcPr>
            <w:tcW w:type="dxa" w:w="1810"/>
            <w:shd w:fill="E8EBF5" w:val="clear"/>
            <w:tcMar>
              <w:top w:type="dxa" w:w="50"/>
              <w:left w:type="dxa" w:w="70"/>
              <w:bottom w:type="dxa" w:w="50"/>
              <w:right w:type="dxa" w:w="70"/>
            </w:tcMar>
            <w:vAlign w:val="center"/>
          </w:tcPr>
          <w:p>
            <w:pPr>
              <w:spacing w:after="0"/>
            </w:pPr>
            <w:r>
              <w:rPr>
                <w:b/>
                <w:bCs/>
                <w:color w:val="1B2A57"/>
                <w:sz w:val="18"/>
                <w:szCs w:val="18"/>
              </w:rPr>
              <w:t xml:space="preserve">Fase</w:t>
            </w:r>
          </w:p>
        </w:tc>
        <w:tc>
          <w:tcPr>
            <w:tcW w:type="dxa" w:w="3148"/>
            <w:shd w:fill="E8EBF5" w:val="clear"/>
            <w:tcMar>
              <w:top w:type="dxa" w:w="50"/>
              <w:left w:type="dxa" w:w="70"/>
              <w:bottom w:type="dxa" w:w="50"/>
              <w:right w:type="dxa" w:w="70"/>
            </w:tcMar>
            <w:vAlign w:val="center"/>
          </w:tcPr>
          <w:p>
            <w:pPr>
              <w:spacing w:after="0"/>
            </w:pPr>
            <w:r>
              <w:rPr>
                <w:b/>
                <w:bCs/>
                <w:color w:val="1B2A57"/>
                <w:sz w:val="18"/>
                <w:szCs w:val="18"/>
              </w:rPr>
              <w:t xml:space="preserve">Lenguajes</w:t>
            </w:r>
          </w:p>
        </w:tc>
        <w:tc>
          <w:tcPr>
            <w:tcW w:type="dxa" w:w="3148"/>
            <w:shd w:fill="E8EBF5" w:val="clear"/>
            <w:tcMar>
              <w:top w:type="dxa" w:w="50"/>
              <w:left w:type="dxa" w:w="70"/>
              <w:bottom w:type="dxa" w:w="50"/>
              <w:right w:type="dxa" w:w="70"/>
            </w:tcMar>
            <w:vAlign w:val="center"/>
          </w:tcPr>
          <w:p>
            <w:pPr>
              <w:spacing w:after="0"/>
            </w:pPr>
            <w:r>
              <w:rPr>
                <w:b/>
                <w:bCs/>
                <w:color w:val="1B2A57"/>
                <w:sz w:val="18"/>
                <w:szCs w:val="18"/>
              </w:rPr>
              <w:t xml:space="preserve">Saberes y Pensamiento Científico</w:t>
            </w:r>
          </w:p>
        </w:tc>
        <w:tc>
          <w:tcPr>
            <w:tcW w:type="dxa" w:w="3148"/>
            <w:shd w:fill="E8EBF5" w:val="clear"/>
            <w:tcMar>
              <w:top w:type="dxa" w:w="50"/>
              <w:left w:type="dxa" w:w="70"/>
              <w:bottom w:type="dxa" w:w="50"/>
              <w:right w:type="dxa" w:w="70"/>
            </w:tcMar>
            <w:vAlign w:val="center"/>
          </w:tcPr>
          <w:p>
            <w:pPr>
              <w:spacing w:after="0"/>
            </w:pPr>
            <w:r>
              <w:rPr>
                <w:b/>
                <w:bCs/>
                <w:color w:val="1B2A57"/>
                <w:sz w:val="18"/>
                <w:szCs w:val="18"/>
              </w:rPr>
              <w:t xml:space="preserve">Ética, Naturaleza y Sociedades</w:t>
            </w:r>
          </w:p>
        </w:tc>
        <w:tc>
          <w:tcPr>
            <w:tcW w:type="dxa" w:w="3148"/>
            <w:shd w:fill="E8EBF5" w:val="clear"/>
            <w:tcMar>
              <w:top w:type="dxa" w:w="50"/>
              <w:left w:type="dxa" w:w="70"/>
              <w:bottom w:type="dxa" w:w="50"/>
              <w:right w:type="dxa" w:w="70"/>
            </w:tcMar>
            <w:vAlign w:val="center"/>
          </w:tcPr>
          <w:p>
            <w:pPr>
              <w:spacing w:after="0"/>
            </w:pPr>
            <w:r>
              <w:rPr>
                <w:b/>
                <w:bCs/>
                <w:color w:val="1B2A57"/>
                <w:sz w:val="18"/>
                <w:szCs w:val="18"/>
              </w:rPr>
              <w:t xml:space="preserve">De lo Humano y lo Comunitario</w:t>
            </w:r>
          </w:p>
        </w:tc>
      </w:tr>
      <w:tr>
        <w:trPr>
          <w:cantSplit/>
          <w:trHeight w:val="680" w:hRule="atLeast"/>
        </w:trPr>
        <w:tc>
          <w:tcPr>
            <w:tcW w:type="dxa" w:w="1810"/>
            <w:tcMar>
              <w:top w:type="dxa" w:w="50"/>
              <w:left w:type="dxa" w:w="70"/>
              <w:bottom w:type="dxa" w:w="50"/>
              <w:right w:type="dxa" w:w="70"/>
            </w:tcMar>
            <w:vAlign w:val="top"/>
          </w:tcPr>
          <w:p>
            <w:pPr>
              <w:spacing w:after="0"/>
            </w:pPr>
            <w:r>
              <w:rPr>
                <w:b/>
                <w:bCs/>
                <w:color w:val="1B2A57"/>
                <w:sz w:val="20"/>
                <w:szCs w:val="20"/>
              </w:rPr>
              <w:t xml:space="preserve">Fase 2</w:t>
            </w:r>
          </w:p>
          <w:p>
            <w:pPr>
              <w:spacing w:after="0"/>
            </w:pPr>
            <w:r>
              <w:rPr>
                <w:b w:val="false"/>
                <w:bCs w:val="false"/>
                <w:color w:val="4F5878"/>
                <w:sz w:val="16"/>
                <w:szCs w:val="16"/>
              </w:rPr>
              <w:t xml:space="preserve">Preescolar: 1.º, 2.º, 3.º</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9 contenidos · 87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9 contenidos · 131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8 contenidos · 70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8 contenidos · 85 PDA</w:t>
            </w:r>
          </w:p>
        </w:tc>
      </w:tr>
      <w:tr>
        <w:trPr>
          <w:cantSplit/>
          <w:trHeight w:val="680" w:hRule="atLeast"/>
        </w:trPr>
        <w:tc>
          <w:tcPr>
            <w:tcW w:type="dxa" w:w="1810"/>
            <w:tcMar>
              <w:top w:type="dxa" w:w="50"/>
              <w:left w:type="dxa" w:w="70"/>
              <w:bottom w:type="dxa" w:w="50"/>
              <w:right w:type="dxa" w:w="70"/>
            </w:tcMar>
            <w:vAlign w:val="top"/>
          </w:tcPr>
          <w:p>
            <w:pPr>
              <w:spacing w:after="0"/>
            </w:pPr>
            <w:r>
              <w:rPr>
                <w:b/>
                <w:bCs/>
                <w:color w:val="1B2A57"/>
                <w:sz w:val="20"/>
                <w:szCs w:val="20"/>
              </w:rPr>
              <w:t xml:space="preserve">Fase 3</w:t>
            </w:r>
          </w:p>
          <w:p>
            <w:pPr>
              <w:spacing w:after="0"/>
            </w:pPr>
            <w:r>
              <w:rPr>
                <w:b w:val="false"/>
                <w:bCs w:val="false"/>
                <w:color w:val="4F5878"/>
                <w:sz w:val="16"/>
                <w:szCs w:val="16"/>
              </w:rPr>
              <w:t xml:space="preserve">Primaria: 1.º, 2.º</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26 contenidos · 149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16 contenidos · 76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18 contenidos · 59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20 contenidos · 60 PDA</w:t>
            </w:r>
          </w:p>
        </w:tc>
      </w:tr>
      <w:tr>
        <w:trPr>
          <w:cantSplit/>
          <w:trHeight w:val="680" w:hRule="atLeast"/>
        </w:trPr>
        <w:tc>
          <w:tcPr>
            <w:tcW w:type="dxa" w:w="1810"/>
            <w:tcMar>
              <w:top w:type="dxa" w:w="50"/>
              <w:left w:type="dxa" w:w="70"/>
              <w:bottom w:type="dxa" w:w="50"/>
              <w:right w:type="dxa" w:w="70"/>
            </w:tcMar>
            <w:vAlign w:val="top"/>
          </w:tcPr>
          <w:p>
            <w:pPr>
              <w:spacing w:after="0"/>
            </w:pPr>
            <w:r>
              <w:rPr>
                <w:b/>
                <w:bCs/>
                <w:color w:val="1B2A57"/>
                <w:sz w:val="20"/>
                <w:szCs w:val="20"/>
              </w:rPr>
              <w:t xml:space="preserve">Fase 4</w:t>
            </w:r>
          </w:p>
          <w:p>
            <w:pPr>
              <w:spacing w:after="0"/>
            </w:pPr>
            <w:r>
              <w:rPr>
                <w:b w:val="false"/>
                <w:bCs w:val="false"/>
                <w:color w:val="4F5878"/>
                <w:sz w:val="16"/>
                <w:szCs w:val="16"/>
              </w:rPr>
              <w:t xml:space="preserve">Primaria: 3.º, 4.º</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25 contenidos · 198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19 contenidos · 97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18 contenidos · 99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20 contenidos · 63 PDA</w:t>
            </w:r>
          </w:p>
        </w:tc>
      </w:tr>
      <w:tr>
        <w:trPr>
          <w:cantSplit/>
          <w:trHeight w:val="680" w:hRule="atLeast"/>
        </w:trPr>
        <w:tc>
          <w:tcPr>
            <w:tcW w:type="dxa" w:w="1810"/>
            <w:tcMar>
              <w:top w:type="dxa" w:w="50"/>
              <w:left w:type="dxa" w:w="70"/>
              <w:bottom w:type="dxa" w:w="50"/>
              <w:right w:type="dxa" w:w="70"/>
            </w:tcMar>
            <w:vAlign w:val="top"/>
          </w:tcPr>
          <w:p>
            <w:pPr>
              <w:spacing w:after="0"/>
            </w:pPr>
            <w:r>
              <w:rPr>
                <w:b/>
                <w:bCs/>
                <w:color w:val="1B2A57"/>
                <w:sz w:val="20"/>
                <w:szCs w:val="20"/>
              </w:rPr>
              <w:t xml:space="preserve">Fase 5</w:t>
            </w:r>
          </w:p>
          <w:p>
            <w:pPr>
              <w:spacing w:after="0"/>
            </w:pPr>
            <w:r>
              <w:rPr>
                <w:b w:val="false"/>
                <w:bCs w:val="false"/>
                <w:color w:val="4F5878"/>
                <w:sz w:val="16"/>
                <w:szCs w:val="16"/>
              </w:rPr>
              <w:t xml:space="preserve">Primaria: 5.º, 6.º</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24 contenidos · 194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23 contenidos · 129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21 contenidos · 150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17 contenidos · 57 PDA</w:t>
            </w:r>
          </w:p>
        </w:tc>
      </w:tr>
      <w:tr>
        <w:trPr>
          <w:cantSplit/>
          <w:trHeight w:val="680" w:hRule="atLeast"/>
        </w:trPr>
        <w:tc>
          <w:tcPr>
            <w:tcW w:type="dxa" w:w="1810"/>
            <w:tcMar>
              <w:top w:type="dxa" w:w="50"/>
              <w:left w:type="dxa" w:w="70"/>
              <w:bottom w:type="dxa" w:w="50"/>
              <w:right w:type="dxa" w:w="70"/>
            </w:tcMar>
            <w:vAlign w:val="top"/>
          </w:tcPr>
          <w:p>
            <w:pPr>
              <w:spacing w:after="0"/>
            </w:pPr>
            <w:r>
              <w:rPr>
                <w:b/>
                <w:bCs/>
                <w:color w:val="1B2A57"/>
                <w:sz w:val="20"/>
                <w:szCs w:val="20"/>
              </w:rPr>
              <w:t xml:space="preserve">Fase 6</w:t>
            </w:r>
          </w:p>
          <w:p>
            <w:pPr>
              <w:spacing w:after="0"/>
            </w:pPr>
            <w:r>
              <w:rPr>
                <w:b w:val="false"/>
                <w:bCs w:val="false"/>
                <w:color w:val="4F5878"/>
                <w:sz w:val="16"/>
                <w:szCs w:val="16"/>
              </w:rPr>
              <w:t xml:space="preserve">Secundaria: 1.º, 2.º, 3.º</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 Español</w:t>
            </w:r>
          </w:p>
          <w:p>
            <w:pPr>
              <w:spacing w:after="0"/>
            </w:pPr>
            <w:r>
              <w:rPr>
                <w:b w:val="false"/>
                <w:bCs w:val="false"/>
                <w:color w:val="1B2A57"/>
                <w:sz w:val="18"/>
                <w:szCs w:val="18"/>
              </w:rPr>
              <w:t xml:space="preserve">· Lengua Indígena como Lengua Materna</w:t>
            </w:r>
          </w:p>
          <w:p>
            <w:pPr>
              <w:spacing w:after="0"/>
            </w:pPr>
            <w:r>
              <w:rPr>
                <w:b w:val="false"/>
                <w:bCs w:val="false"/>
                <w:color w:val="1B2A57"/>
                <w:sz w:val="18"/>
                <w:szCs w:val="18"/>
              </w:rPr>
              <w:t xml:space="preserve">· Lengua Indígena como Segunda Lengua</w:t>
            </w:r>
          </w:p>
          <w:p>
            <w:pPr>
              <w:spacing w:after="0"/>
            </w:pPr>
            <w:r>
              <w:rPr>
                <w:b w:val="false"/>
                <w:bCs w:val="false"/>
                <w:color w:val="1B2A57"/>
                <w:sz w:val="18"/>
                <w:szCs w:val="18"/>
              </w:rPr>
              <w:t xml:space="preserve">· Inglés</w:t>
            </w:r>
          </w:p>
          <w:p>
            <w:pPr>
              <w:spacing w:after="0"/>
            </w:pPr>
            <w:r>
              <w:rPr>
                <w:b w:val="false"/>
                <w:bCs w:val="false"/>
                <w:color w:val="1B2A57"/>
                <w:sz w:val="18"/>
                <w:szCs w:val="18"/>
              </w:rPr>
              <w:t xml:space="preserve">· Artes</w:t>
            </w:r>
          </w:p>
          <w:p>
            <w:pPr>
              <w:spacing w:after="0"/>
            </w:pPr>
            <w:r>
              <w:rPr>
                <w:b w:val="false"/>
                <w:bCs w:val="false"/>
                <w:color w:val="4F5878"/>
                <w:sz w:val="16"/>
                <w:szCs w:val="16"/>
              </w:rPr>
              <w:t xml:space="preserve">69 contenidos · 227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 Matemáticas</w:t>
            </w:r>
          </w:p>
          <w:p>
            <w:pPr>
              <w:spacing w:after="0"/>
            </w:pPr>
            <w:r>
              <w:rPr>
                <w:b w:val="false"/>
                <w:bCs w:val="false"/>
                <w:color w:val="1B2A57"/>
                <w:sz w:val="18"/>
                <w:szCs w:val="18"/>
              </w:rPr>
              <w:t xml:space="preserve">· Biología</w:t>
            </w:r>
          </w:p>
          <w:p>
            <w:pPr>
              <w:spacing w:after="0"/>
            </w:pPr>
            <w:r>
              <w:rPr>
                <w:b w:val="false"/>
                <w:bCs w:val="false"/>
                <w:color w:val="1B2A57"/>
                <w:sz w:val="18"/>
                <w:szCs w:val="18"/>
              </w:rPr>
              <w:t xml:space="preserve">· Física</w:t>
            </w:r>
          </w:p>
          <w:p>
            <w:pPr>
              <w:spacing w:after="0"/>
            </w:pPr>
            <w:r>
              <w:rPr>
                <w:b w:val="false"/>
                <w:bCs w:val="false"/>
                <w:color w:val="1B2A57"/>
                <w:sz w:val="18"/>
                <w:szCs w:val="18"/>
              </w:rPr>
              <w:t xml:space="preserve">· Química</w:t>
            </w:r>
          </w:p>
          <w:p>
            <w:pPr>
              <w:spacing w:after="0"/>
            </w:pPr>
            <w:r>
              <w:rPr>
                <w:b w:val="false"/>
                <w:bCs w:val="false"/>
                <w:color w:val="4F5878"/>
                <w:sz w:val="16"/>
                <w:szCs w:val="16"/>
              </w:rPr>
              <w:t xml:space="preserve">45 contenidos · 164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 Geografía</w:t>
            </w:r>
          </w:p>
          <w:p>
            <w:pPr>
              <w:spacing w:after="0"/>
            </w:pPr>
            <w:r>
              <w:rPr>
                <w:b w:val="false"/>
                <w:bCs w:val="false"/>
                <w:color w:val="1B2A57"/>
                <w:sz w:val="18"/>
                <w:szCs w:val="18"/>
              </w:rPr>
              <w:t xml:space="preserve">· Historia</w:t>
            </w:r>
          </w:p>
          <w:p>
            <w:pPr>
              <w:spacing w:after="0"/>
            </w:pPr>
            <w:r>
              <w:rPr>
                <w:b w:val="false"/>
                <w:bCs w:val="false"/>
                <w:color w:val="1B2A57"/>
                <w:sz w:val="18"/>
                <w:szCs w:val="18"/>
              </w:rPr>
              <w:t xml:space="preserve">· Formación Cívica y Ética</w:t>
            </w:r>
          </w:p>
          <w:p>
            <w:pPr>
              <w:spacing w:after="0"/>
            </w:pPr>
            <w:r>
              <w:rPr>
                <w:b w:val="false"/>
                <w:bCs w:val="false"/>
                <w:color w:val="4F5878"/>
                <w:sz w:val="16"/>
                <w:szCs w:val="16"/>
              </w:rPr>
              <w:t xml:space="preserve">42 contenidos · 265 PDA</w:t>
            </w:r>
          </w:p>
        </w:tc>
        <w:tc>
          <w:tcPr>
            <w:tcW w:type="dxa" w:w="3148"/>
            <w:tcMar>
              <w:top w:type="dxa" w:w="50"/>
              <w:left w:type="dxa" w:w="70"/>
              <w:bottom w:type="dxa" w:w="50"/>
              <w:right w:type="dxa" w:w="70"/>
            </w:tcMar>
            <w:vAlign w:val="top"/>
          </w:tcPr>
          <w:p>
            <w:pPr>
              <w:spacing w:after="0"/>
            </w:pPr>
            <w:r>
              <w:rPr>
                <w:b w:val="false"/>
                <w:bCs w:val="false"/>
                <w:color w:val="1B2A57"/>
                <w:sz w:val="18"/>
                <w:szCs w:val="18"/>
              </w:rPr>
              <w:t xml:space="preserve">· Tecnología</w:t>
            </w:r>
          </w:p>
          <w:p>
            <w:pPr>
              <w:spacing w:after="0"/>
            </w:pPr>
            <w:r>
              <w:rPr>
                <w:b w:val="false"/>
                <w:bCs w:val="false"/>
                <w:color w:val="1B2A57"/>
                <w:sz w:val="18"/>
                <w:szCs w:val="18"/>
              </w:rPr>
              <w:t xml:space="preserve">· Educación Socioemocional / Tutoría</w:t>
            </w:r>
          </w:p>
          <w:p>
            <w:pPr>
              <w:spacing w:after="0"/>
            </w:pPr>
            <w:r>
              <w:rPr>
                <w:b w:val="false"/>
                <w:bCs w:val="false"/>
                <w:color w:val="1B2A57"/>
                <w:sz w:val="18"/>
                <w:szCs w:val="18"/>
              </w:rPr>
              <w:t xml:space="preserve">· Educación Física</w:t>
            </w:r>
          </w:p>
          <w:p>
            <w:pPr>
              <w:spacing w:after="0"/>
            </w:pPr>
            <w:r>
              <w:rPr>
                <w:b w:val="false"/>
                <w:bCs w:val="false"/>
                <w:color w:val="4F5878"/>
                <w:sz w:val="16"/>
                <w:szCs w:val="16"/>
              </w:rPr>
              <w:t xml:space="preserve">18 contenidos · 58 PDA</w:t>
            </w:r>
          </w:p>
        </w:tc>
      </w:tr>
    </w:tbl>
    <w:p>
      <w:pPr>
        <w:pStyle w:val="Heading2"/>
        <w:keepNext/>
        <w:spacing w:after="80" w:before="200"/>
      </w:pPr>
      <w:r>
        <w:rPr>
          <w:b/>
          <w:bCs/>
          <w:color w:val="1B2A57"/>
          <w:sz w:val="24"/>
          <w:szCs w:val="24"/>
        </w:rPr>
        <w:t xml:space="preserve">Qué es cada campo (primera frase literal del Plan de Estudio 2022)</w:t>
      </w:r>
    </w:p>
    <w:tbl>
      <w:tblPr>
        <w:tblW w:type="dxa" w:w="14400"/>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2734"/>
        <w:gridCol w:w="10208"/>
        <w:gridCol w:w="1458"/>
      </w:tblGrid>
      <w:tr>
        <w:trPr>
          <w:cantSplit/>
          <w:tblHeader/>
        </w:trPr>
        <w:tc>
          <w:tcPr>
            <w:tcW w:type="dxa" w:w="2734"/>
            <w:shd w:fill="E8EBF5" w:val="clear"/>
            <w:tcMar>
              <w:top w:type="dxa" w:w="50"/>
              <w:left w:type="dxa" w:w="70"/>
              <w:bottom w:type="dxa" w:w="50"/>
              <w:right w:type="dxa" w:w="70"/>
            </w:tcMar>
            <w:vAlign w:val="center"/>
          </w:tcPr>
          <w:p>
            <w:pPr>
              <w:spacing w:after="0"/>
            </w:pPr>
            <w:r>
              <w:rPr>
                <w:b/>
                <w:bCs/>
                <w:color w:val="1B2A57"/>
                <w:sz w:val="18"/>
                <w:szCs w:val="18"/>
              </w:rPr>
              <w:t xml:space="preserve">Campo formativo</w:t>
            </w:r>
          </w:p>
        </w:tc>
        <w:tc>
          <w:tcPr>
            <w:tcW w:type="dxa" w:w="10208"/>
            <w:shd w:fill="E8EBF5" w:val="clear"/>
            <w:tcMar>
              <w:top w:type="dxa" w:w="50"/>
              <w:left w:type="dxa" w:w="70"/>
              <w:bottom w:type="dxa" w:w="50"/>
              <w:right w:type="dxa" w:w="70"/>
            </w:tcMar>
            <w:vAlign w:val="center"/>
          </w:tcPr>
          <w:p>
            <w:pPr>
              <w:spacing w:after="0"/>
            </w:pPr>
            <w:r>
              <w:rPr>
                <w:b/>
                <w:bCs/>
                <w:color w:val="1B2A57"/>
                <w:sz w:val="18"/>
                <w:szCs w:val="18"/>
              </w:rPr>
              <w:t xml:space="preserve">Descripción (texto literal)</w:t>
            </w:r>
          </w:p>
        </w:tc>
        <w:tc>
          <w:tcPr>
            <w:tcW w:type="dxa" w:w="1458"/>
            <w:shd w:fill="E8EBF5" w:val="clear"/>
            <w:tcMar>
              <w:top w:type="dxa" w:w="50"/>
              <w:left w:type="dxa" w:w="70"/>
              <w:bottom w:type="dxa" w:w="50"/>
              <w:right w:type="dxa" w:w="70"/>
            </w:tcMar>
            <w:vAlign w:val="center"/>
          </w:tcPr>
          <w:p>
            <w:pPr>
              <w:spacing w:after="0"/>
            </w:pPr>
            <w:r>
              <w:rPr>
                <w:b/>
                <w:bCs/>
                <w:color w:val="1B2A57"/>
                <w:sz w:val="18"/>
                <w:szCs w:val="18"/>
              </w:rPr>
              <w:t xml:space="preserve">Fuente</w:t>
            </w:r>
          </w:p>
        </w:tc>
      </w:tr>
      <w:tr>
        <w:trPr>
          <w:cantSplit/>
          <w:trHeight w:val="600" w:hRule="atLeast"/>
        </w:trPr>
        <w:tc>
          <w:tcPr>
            <w:tcW w:type="dxa" w:w="2734"/>
            <w:tcMar>
              <w:top w:type="dxa" w:w="50"/>
              <w:left w:type="dxa" w:w="70"/>
              <w:bottom w:type="dxa" w:w="50"/>
              <w:right w:type="dxa" w:w="70"/>
            </w:tcMar>
            <w:vAlign w:val="top"/>
          </w:tcPr>
          <w:p>
            <w:pPr>
              <w:spacing w:after="0"/>
            </w:pPr>
            <w:r>
              <w:rPr>
                <w:b/>
                <w:bCs/>
                <w:color w:val="1B2A57"/>
                <w:sz w:val="19"/>
                <w:szCs w:val="19"/>
              </w:rPr>
              <w:t xml:space="preserve">Lenguajes</w:t>
            </w:r>
          </w:p>
        </w:tc>
        <w:tc>
          <w:tcPr>
            <w:tcW w:type="dxa" w:w="10208"/>
            <w:tcMar>
              <w:top w:type="dxa" w:w="50"/>
              <w:left w:type="dxa" w:w="70"/>
              <w:bottom w:type="dxa" w:w="50"/>
              <w:right w:type="dxa" w:w="70"/>
            </w:tcMar>
            <w:vAlign w:val="top"/>
          </w:tcPr>
          <w:p>
            <w:pPr>
              <w:spacing w:after="0"/>
            </w:pPr>
            <w:r>
              <w:rPr>
                <w:b w:val="false"/>
                <w:bCs w:val="false"/>
                <w:color w:val="1B2A57"/>
                <w:sz w:val="17"/>
                <w:szCs w:val="17"/>
              </w:rPr>
              <w:t xml:space="preserve">Los lenguajes son construcciones cognitivas, sociales y dinámicas que las personas utilizan desde su nacimiento para expresar, conocer, pensar, aprender, representar, comunicar, interpretar y nombrar el mundo, así como compartir necesidades, emociones, sentimientos, experiencias, ideas, significados, saberes y conocimientos; por tanto, los lenguajes permiten establecer vínculos que propicien la convivencia y la participación colaborativa a fin de comprender y atender situaciones que se presentan cotidianamente.</w:t>
            </w:r>
          </w:p>
        </w:tc>
        <w:tc>
          <w:tcPr>
            <w:tcW w:type="dxa" w:w="1458"/>
            <w:tcMar>
              <w:top w:type="dxa" w:w="50"/>
              <w:left w:type="dxa" w:w="70"/>
              <w:bottom w:type="dxa" w:w="50"/>
              <w:right w:type="dxa" w:w="70"/>
            </w:tcMar>
            <w:vAlign w:val="top"/>
          </w:tcPr>
          <w:p>
            <w:pPr>
              <w:spacing w:after="0"/>
            </w:pPr>
            <w:r>
              <w:rPr>
                <w:b w:val="false"/>
                <w:bCs w:val="false"/>
                <w:color w:val="4F5878"/>
                <w:sz w:val="16"/>
                <w:szCs w:val="16"/>
              </w:rPr>
              <w:t xml:space="preserve">Apartado 8.2.1, p. 139</w:t>
            </w:r>
          </w:p>
        </w:tc>
      </w:tr>
      <w:tr>
        <w:trPr>
          <w:cantSplit/>
          <w:trHeight w:val="600" w:hRule="atLeast"/>
        </w:trPr>
        <w:tc>
          <w:tcPr>
            <w:tcW w:type="dxa" w:w="2734"/>
            <w:tcMar>
              <w:top w:type="dxa" w:w="50"/>
              <w:left w:type="dxa" w:w="70"/>
              <w:bottom w:type="dxa" w:w="50"/>
              <w:right w:type="dxa" w:w="70"/>
            </w:tcMar>
            <w:vAlign w:val="top"/>
          </w:tcPr>
          <w:p>
            <w:pPr>
              <w:spacing w:after="0"/>
            </w:pPr>
            <w:r>
              <w:rPr>
                <w:b/>
                <w:bCs/>
                <w:color w:val="1B2A57"/>
                <w:sz w:val="19"/>
                <w:szCs w:val="19"/>
              </w:rPr>
              <w:t xml:space="preserve">Saberes y Pensamiento Científico</w:t>
            </w:r>
          </w:p>
        </w:tc>
        <w:tc>
          <w:tcPr>
            <w:tcW w:type="dxa" w:w="10208"/>
            <w:tcMar>
              <w:top w:type="dxa" w:w="50"/>
              <w:left w:type="dxa" w:w="70"/>
              <w:bottom w:type="dxa" w:w="50"/>
              <w:right w:type="dxa" w:w="70"/>
            </w:tcMar>
            <w:vAlign w:val="top"/>
          </w:tcPr>
          <w:p>
            <w:pPr>
              <w:spacing w:after="0"/>
            </w:pPr>
            <w:r>
              <w:rPr>
                <w:b w:val="false"/>
                <w:bCs w:val="false"/>
                <w:color w:val="1B2A57"/>
                <w:sz w:val="17"/>
                <w:szCs w:val="17"/>
              </w:rPr>
              <w:t xml:space="preserve">Desde el nacimiento, el ser humano busca conocer todo aquello que lo rodea y que conforma su entorno natural y sociocultural a partir de su curiosidad e interés por explorarlo.</w:t>
            </w:r>
          </w:p>
        </w:tc>
        <w:tc>
          <w:tcPr>
            <w:tcW w:type="dxa" w:w="1458"/>
            <w:tcMar>
              <w:top w:type="dxa" w:w="50"/>
              <w:left w:type="dxa" w:w="70"/>
              <w:bottom w:type="dxa" w:w="50"/>
              <w:right w:type="dxa" w:w="70"/>
            </w:tcMar>
            <w:vAlign w:val="top"/>
          </w:tcPr>
          <w:p>
            <w:pPr>
              <w:spacing w:after="0"/>
            </w:pPr>
            <w:r>
              <w:rPr>
                <w:b w:val="false"/>
                <w:bCs w:val="false"/>
                <w:color w:val="4F5878"/>
                <w:sz w:val="16"/>
                <w:szCs w:val="16"/>
              </w:rPr>
              <w:t xml:space="preserve">Apartado 8.2.2, p. 141</w:t>
            </w:r>
          </w:p>
        </w:tc>
      </w:tr>
      <w:tr>
        <w:trPr>
          <w:cantSplit/>
          <w:trHeight w:val="600" w:hRule="atLeast"/>
        </w:trPr>
        <w:tc>
          <w:tcPr>
            <w:tcW w:type="dxa" w:w="2734"/>
            <w:tcMar>
              <w:top w:type="dxa" w:w="50"/>
              <w:left w:type="dxa" w:w="70"/>
              <w:bottom w:type="dxa" w:w="50"/>
              <w:right w:type="dxa" w:w="70"/>
            </w:tcMar>
            <w:vAlign w:val="top"/>
          </w:tcPr>
          <w:p>
            <w:pPr>
              <w:spacing w:after="0"/>
            </w:pPr>
            <w:r>
              <w:rPr>
                <w:b/>
                <w:bCs/>
                <w:color w:val="1B2A57"/>
                <w:sz w:val="19"/>
                <w:szCs w:val="19"/>
              </w:rPr>
              <w:t xml:space="preserve">Ética, Naturaleza y Sociedades</w:t>
            </w:r>
          </w:p>
        </w:tc>
        <w:tc>
          <w:tcPr>
            <w:tcW w:type="dxa" w:w="10208"/>
            <w:tcMar>
              <w:top w:type="dxa" w:w="50"/>
              <w:left w:type="dxa" w:w="70"/>
              <w:bottom w:type="dxa" w:w="50"/>
              <w:right w:type="dxa" w:w="70"/>
            </w:tcMar>
            <w:vAlign w:val="top"/>
          </w:tcPr>
          <w:p>
            <w:pPr>
              <w:spacing w:after="0"/>
            </w:pPr>
            <w:r>
              <w:rPr>
                <w:b w:val="false"/>
                <w:bCs w:val="false"/>
                <w:color w:val="1B2A57"/>
                <w:sz w:val="17"/>
                <w:szCs w:val="17"/>
              </w:rPr>
              <w:t xml:space="preserve">Este campo aborda la relación del ser humano con la sociedad y la naturaleza desde la comprensión crítica de los procesos sociales, políticos, naturales y culturales en diversas comunidades situadas histórica y geográficamente; ofreciendo experiencias de aprendizaje para la construcción de una postura ética que impulse el desarrollo de una ciudadanía participativa, comunitaria, responsable y democrática.</w:t>
            </w:r>
          </w:p>
        </w:tc>
        <w:tc>
          <w:tcPr>
            <w:tcW w:type="dxa" w:w="1458"/>
            <w:tcMar>
              <w:top w:type="dxa" w:w="50"/>
              <w:left w:type="dxa" w:w="70"/>
              <w:bottom w:type="dxa" w:w="50"/>
              <w:right w:type="dxa" w:w="70"/>
            </w:tcMar>
            <w:vAlign w:val="top"/>
          </w:tcPr>
          <w:p>
            <w:pPr>
              <w:spacing w:after="0"/>
            </w:pPr>
            <w:r>
              <w:rPr>
                <w:b w:val="false"/>
                <w:bCs w:val="false"/>
                <w:color w:val="4F5878"/>
                <w:sz w:val="16"/>
                <w:szCs w:val="16"/>
              </w:rPr>
              <w:t xml:space="preserve">Apartado 8.2.3, p. 143</w:t>
            </w:r>
          </w:p>
        </w:tc>
      </w:tr>
      <w:tr>
        <w:trPr>
          <w:cantSplit/>
          <w:trHeight w:val="600" w:hRule="atLeast"/>
        </w:trPr>
        <w:tc>
          <w:tcPr>
            <w:tcW w:type="dxa" w:w="2734"/>
            <w:tcMar>
              <w:top w:type="dxa" w:w="50"/>
              <w:left w:type="dxa" w:w="70"/>
              <w:bottom w:type="dxa" w:w="50"/>
              <w:right w:type="dxa" w:w="70"/>
            </w:tcMar>
            <w:vAlign w:val="top"/>
          </w:tcPr>
          <w:p>
            <w:pPr>
              <w:spacing w:after="0"/>
            </w:pPr>
            <w:r>
              <w:rPr>
                <w:b/>
                <w:bCs/>
                <w:color w:val="1B2A57"/>
                <w:sz w:val="19"/>
                <w:szCs w:val="19"/>
              </w:rPr>
              <w:t xml:space="preserve">De lo Humano y lo Comunitario</w:t>
            </w:r>
          </w:p>
        </w:tc>
        <w:tc>
          <w:tcPr>
            <w:tcW w:type="dxa" w:w="10208"/>
            <w:tcMar>
              <w:top w:type="dxa" w:w="50"/>
              <w:left w:type="dxa" w:w="70"/>
              <w:bottom w:type="dxa" w:w="50"/>
              <w:right w:type="dxa" w:w="70"/>
            </w:tcMar>
            <w:vAlign w:val="top"/>
          </w:tcPr>
          <w:p>
            <w:pPr>
              <w:spacing w:after="0"/>
            </w:pPr>
            <w:r>
              <w:rPr>
                <w:b w:val="false"/>
                <w:bCs w:val="false"/>
                <w:color w:val="1B2A57"/>
                <w:sz w:val="17"/>
                <w:szCs w:val="17"/>
              </w:rPr>
              <w:t xml:space="preserve">Este campo reconoce que el ser humano interactúa con su comunidad mediante un proceso dinámico y continuo de construcción personal y social, y de participación auténtica en un espacio donde toda persona en colectividad, desde sus primeros años, acceda a una vida digna, justa y solidaria, contribuyendo así al goce de un mayor bienestar.</w:t>
            </w:r>
          </w:p>
        </w:tc>
        <w:tc>
          <w:tcPr>
            <w:tcW w:type="dxa" w:w="1458"/>
            <w:tcMar>
              <w:top w:type="dxa" w:w="50"/>
              <w:left w:type="dxa" w:w="70"/>
              <w:bottom w:type="dxa" w:w="50"/>
              <w:right w:type="dxa" w:w="70"/>
            </w:tcMar>
            <w:vAlign w:val="top"/>
          </w:tcPr>
          <w:p>
            <w:pPr>
              <w:spacing w:after="0"/>
            </w:pPr>
            <w:r>
              <w:rPr>
                <w:b w:val="false"/>
                <w:bCs w:val="false"/>
                <w:color w:val="4F5878"/>
                <w:sz w:val="16"/>
                <w:szCs w:val="16"/>
              </w:rPr>
              <w:t xml:space="preserve">Apartado 8.2.4, p. 145</w:t>
            </w:r>
          </w:p>
        </w:tc>
      </w:tr>
    </w:tbl>
    <w:p>
      <w:pPr>
        <w:pStyle w:val="Heading2"/>
        <w:keepNext/>
        <w:spacing w:after="80" w:before="200"/>
      </w:pPr>
      <w:r>
        <w:rPr>
          <w:b/>
          <w:bCs/>
          <w:color w:val="1B2A57"/>
          <w:sz w:val="24"/>
          <w:szCs w:val="24"/>
        </w:rPr>
        <w:t xml:space="preserve">Secundaria: periodos lectivos a la semana por disciplina</w:t>
      </w:r>
    </w:p>
    <w:p>
      <w:pPr>
        <w:spacing w:after="80"/>
      </w:pPr>
      <w:r>
        <w:rPr>
          <w:color w:val="4F5878"/>
          <w:sz w:val="17"/>
          <w:szCs w:val="17"/>
        </w:rPr>
        <w:t xml:space="preserve">SEP, «Organización de la Jornada Escolar», anexo de educación secundaria de la Tercera Sesión Ordinaria del CTE (27 de enero de 2023), tabla 1.2. Cada escuela organiza su horario. Duración del periodo (de 50 a 60 minutos) en la Ciudad de México: AEFCM, Guía Operativa para la organización y funcionamiento de los servicios de educación básica de escuelas públicas en la Ciudad de México, ciclo 2025-2026, pp. 60-62.</w:t>
      </w:r>
    </w:p>
    <w:tbl>
      <w:tblPr>
        <w:tblW w:type="dxa" w:w="14400"/>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3948"/>
        <w:gridCol w:w="6968"/>
        <w:gridCol w:w="1161"/>
        <w:gridCol w:w="1161"/>
        <w:gridCol w:w="1161"/>
      </w:tblGrid>
      <w:tr>
        <w:trPr>
          <w:cantSplit/>
          <w:tblHeader/>
        </w:trPr>
        <w:tc>
          <w:tcPr>
            <w:tcW w:type="dxa" w:w="3948"/>
            <w:shd w:fill="E8EBF5" w:val="clear"/>
            <w:tcMar>
              <w:top w:type="dxa" w:w="50"/>
              <w:left w:type="dxa" w:w="70"/>
              <w:bottom w:type="dxa" w:w="50"/>
              <w:right w:type="dxa" w:w="70"/>
            </w:tcMar>
            <w:vAlign w:val="center"/>
          </w:tcPr>
          <w:p>
            <w:pPr>
              <w:spacing w:after="0"/>
            </w:pPr>
            <w:r>
              <w:rPr>
                <w:b/>
                <w:bCs/>
                <w:color w:val="1B2A57"/>
                <w:sz w:val="18"/>
                <w:szCs w:val="18"/>
              </w:rPr>
              <w:t xml:space="preserve">Campo formativo</w:t>
            </w:r>
          </w:p>
        </w:tc>
        <w:tc>
          <w:tcPr>
            <w:tcW w:type="dxa" w:w="6968"/>
            <w:shd w:fill="E8EBF5" w:val="clear"/>
            <w:tcMar>
              <w:top w:type="dxa" w:w="50"/>
              <w:left w:type="dxa" w:w="70"/>
              <w:bottom w:type="dxa" w:w="50"/>
              <w:right w:type="dxa" w:w="70"/>
            </w:tcMar>
            <w:vAlign w:val="center"/>
          </w:tcPr>
          <w:p>
            <w:pPr>
              <w:spacing w:after="0"/>
            </w:pPr>
            <w:r>
              <w:rPr>
                <w:b/>
                <w:bCs/>
                <w:color w:val="1B2A57"/>
                <w:sz w:val="18"/>
                <w:szCs w:val="18"/>
              </w:rPr>
              <w:t xml:space="preserve">Disciplina</w:t>
            </w:r>
          </w:p>
        </w:tc>
        <w:tc>
          <w:tcPr>
            <w:tcW w:type="dxa" w:w="1161"/>
            <w:shd w:fill="E8EBF5" w:val="clear"/>
            <w:tcMar>
              <w:top w:type="dxa" w:w="50"/>
              <w:left w:type="dxa" w:w="70"/>
              <w:bottom w:type="dxa" w:w="50"/>
              <w:right w:type="dxa" w:w="70"/>
            </w:tcMar>
            <w:vAlign w:val="center"/>
          </w:tcPr>
          <w:p>
            <w:pPr>
              <w:spacing w:after="0"/>
              <w:jc w:val="center"/>
            </w:pPr>
            <w:r>
              <w:rPr>
                <w:b/>
                <w:bCs/>
                <w:color w:val="1B2A57"/>
                <w:sz w:val="18"/>
                <w:szCs w:val="18"/>
              </w:rPr>
              <w:t xml:space="preserve">1.º</w:t>
            </w:r>
          </w:p>
        </w:tc>
        <w:tc>
          <w:tcPr>
            <w:tcW w:type="dxa" w:w="1161"/>
            <w:shd w:fill="E8EBF5" w:val="clear"/>
            <w:tcMar>
              <w:top w:type="dxa" w:w="50"/>
              <w:left w:type="dxa" w:w="70"/>
              <w:bottom w:type="dxa" w:w="50"/>
              <w:right w:type="dxa" w:w="70"/>
            </w:tcMar>
            <w:vAlign w:val="center"/>
          </w:tcPr>
          <w:p>
            <w:pPr>
              <w:spacing w:after="0"/>
              <w:jc w:val="center"/>
            </w:pPr>
            <w:r>
              <w:rPr>
                <w:b/>
                <w:bCs/>
                <w:color w:val="1B2A57"/>
                <w:sz w:val="18"/>
                <w:szCs w:val="18"/>
              </w:rPr>
              <w:t xml:space="preserve">2.º</w:t>
            </w:r>
          </w:p>
        </w:tc>
        <w:tc>
          <w:tcPr>
            <w:tcW w:type="dxa" w:w="1161"/>
            <w:shd w:fill="E8EBF5" w:val="clear"/>
            <w:tcMar>
              <w:top w:type="dxa" w:w="50"/>
              <w:left w:type="dxa" w:w="70"/>
              <w:bottom w:type="dxa" w:w="50"/>
              <w:right w:type="dxa" w:w="70"/>
            </w:tcMar>
            <w:vAlign w:val="center"/>
          </w:tcPr>
          <w:p>
            <w:pPr>
              <w:spacing w:after="0"/>
              <w:jc w:val="center"/>
            </w:pPr>
            <w:r>
              <w:rPr>
                <w:b/>
                <w:bCs/>
                <w:color w:val="1B2A57"/>
                <w:sz w:val="18"/>
                <w:szCs w:val="18"/>
              </w:rPr>
              <w:t xml:space="preserve">3.º</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Lenguajes</w:t>
            </w:r>
          </w:p>
        </w:tc>
        <w:tc>
          <w:tcPr>
            <w:tcW w:type="dxa" w:w="6968"/>
            <w:tcMar>
              <w:top w:type="dxa" w:w="50"/>
              <w:left w:type="dxa" w:w="70"/>
              <w:bottom w:type="dxa" w:w="50"/>
              <w:right w:type="dxa" w:w="70"/>
            </w:tcMar>
            <w:vAlign w:val="top"/>
          </w:tcPr>
          <w:p>
            <w:pPr>
              <w:spacing w:after="0"/>
            </w:pPr>
            <w:r>
              <w:rPr>
                <w:b/>
                <w:bCs/>
                <w:color w:val="1B2A57"/>
                <w:sz w:val="18"/>
                <w:szCs w:val="18"/>
              </w:rPr>
              <w:t xml:space="preserve">Español / Lengua indígena (lengua materna)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Lenguajes</w:t>
            </w:r>
          </w:p>
        </w:tc>
        <w:tc>
          <w:tcPr>
            <w:tcW w:type="dxa" w:w="6968"/>
            <w:tcMar>
              <w:top w:type="dxa" w:w="50"/>
              <w:left w:type="dxa" w:w="70"/>
              <w:bottom w:type="dxa" w:w="50"/>
              <w:right w:type="dxa" w:w="70"/>
            </w:tcMar>
            <w:vAlign w:val="top"/>
          </w:tcPr>
          <w:p>
            <w:pPr>
              <w:spacing w:after="0"/>
            </w:pPr>
            <w:r>
              <w:rPr>
                <w:b/>
                <w:bCs/>
                <w:color w:val="1B2A57"/>
                <w:sz w:val="18"/>
                <w:szCs w:val="18"/>
              </w:rPr>
              <w:t xml:space="preserve">Inglés / Francés / Español / Lengua indígena (segunda lengua)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Lenguajes</w:t>
            </w:r>
          </w:p>
        </w:tc>
        <w:tc>
          <w:tcPr>
            <w:tcW w:type="dxa" w:w="6968"/>
            <w:tcMar>
              <w:top w:type="dxa" w:w="50"/>
              <w:left w:type="dxa" w:w="70"/>
              <w:bottom w:type="dxa" w:w="50"/>
              <w:right w:type="dxa" w:w="70"/>
            </w:tcMar>
            <w:vAlign w:val="top"/>
          </w:tcPr>
          <w:p>
            <w:pPr>
              <w:spacing w:after="0"/>
            </w:pPr>
            <w:r>
              <w:rPr>
                <w:b/>
                <w:bCs/>
                <w:color w:val="1B2A57"/>
                <w:sz w:val="18"/>
                <w:szCs w:val="18"/>
              </w:rPr>
              <w:t xml:space="preserve">Artes</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Saberes y Pensamiento Científico</w:t>
            </w:r>
          </w:p>
        </w:tc>
        <w:tc>
          <w:tcPr>
            <w:tcW w:type="dxa" w:w="6968"/>
            <w:tcMar>
              <w:top w:type="dxa" w:w="50"/>
              <w:left w:type="dxa" w:w="70"/>
              <w:bottom w:type="dxa" w:w="50"/>
              <w:right w:type="dxa" w:w="70"/>
            </w:tcMar>
            <w:vAlign w:val="top"/>
          </w:tcPr>
          <w:p>
            <w:pPr>
              <w:spacing w:after="0"/>
            </w:pPr>
            <w:r>
              <w:rPr>
                <w:b/>
                <w:bCs/>
                <w:color w:val="1B2A57"/>
                <w:sz w:val="18"/>
                <w:szCs w:val="18"/>
              </w:rPr>
              <w:t xml:space="preserve">Matemáticas</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5</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Saberes y Pensamiento Científico</w:t>
            </w:r>
          </w:p>
        </w:tc>
        <w:tc>
          <w:tcPr>
            <w:tcW w:type="dxa" w:w="6968"/>
            <w:tcMar>
              <w:top w:type="dxa" w:w="50"/>
              <w:left w:type="dxa" w:w="70"/>
              <w:bottom w:type="dxa" w:w="50"/>
              <w:right w:type="dxa" w:w="70"/>
            </w:tcMar>
            <w:vAlign w:val="top"/>
          </w:tcPr>
          <w:p>
            <w:pPr>
              <w:spacing w:after="0"/>
            </w:pPr>
            <w:r>
              <w:rPr>
                <w:b/>
                <w:bCs/>
                <w:color w:val="1B2A57"/>
                <w:sz w:val="18"/>
                <w:szCs w:val="18"/>
              </w:rPr>
              <w:t xml:space="preserve">Biología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4</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Saberes y Pensamiento Científico</w:t>
            </w:r>
          </w:p>
        </w:tc>
        <w:tc>
          <w:tcPr>
            <w:tcW w:type="dxa" w:w="6968"/>
            <w:tcMar>
              <w:top w:type="dxa" w:w="50"/>
              <w:left w:type="dxa" w:w="70"/>
              <w:bottom w:type="dxa" w:w="50"/>
              <w:right w:type="dxa" w:w="70"/>
            </w:tcMar>
            <w:vAlign w:val="top"/>
          </w:tcPr>
          <w:p>
            <w:pPr>
              <w:spacing w:after="0"/>
            </w:pPr>
            <w:r>
              <w:rPr>
                <w:b/>
                <w:bCs/>
                <w:color w:val="1B2A57"/>
                <w:sz w:val="18"/>
                <w:szCs w:val="18"/>
              </w:rPr>
              <w:t xml:space="preserve">Física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6</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Saberes y Pensamiento Científico</w:t>
            </w:r>
          </w:p>
        </w:tc>
        <w:tc>
          <w:tcPr>
            <w:tcW w:type="dxa" w:w="6968"/>
            <w:tcMar>
              <w:top w:type="dxa" w:w="50"/>
              <w:left w:type="dxa" w:w="70"/>
              <w:bottom w:type="dxa" w:w="50"/>
              <w:right w:type="dxa" w:w="70"/>
            </w:tcMar>
            <w:vAlign w:val="top"/>
          </w:tcPr>
          <w:p>
            <w:pPr>
              <w:spacing w:after="0"/>
            </w:pPr>
            <w:r>
              <w:rPr>
                <w:b/>
                <w:bCs/>
                <w:color w:val="1B2A57"/>
                <w:sz w:val="18"/>
                <w:szCs w:val="18"/>
              </w:rPr>
              <w:t xml:space="preserve">Química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6</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Ética, Naturaleza y Sociedades</w:t>
            </w:r>
          </w:p>
        </w:tc>
        <w:tc>
          <w:tcPr>
            <w:tcW w:type="dxa" w:w="6968"/>
            <w:tcMar>
              <w:top w:type="dxa" w:w="50"/>
              <w:left w:type="dxa" w:w="70"/>
              <w:bottom w:type="dxa" w:w="50"/>
              <w:right w:type="dxa" w:w="70"/>
            </w:tcMar>
            <w:vAlign w:val="top"/>
          </w:tcPr>
          <w:p>
            <w:pPr>
              <w:spacing w:after="0"/>
            </w:pPr>
            <w:r>
              <w:rPr>
                <w:b/>
                <w:bCs/>
                <w:color w:val="1B2A57"/>
                <w:sz w:val="18"/>
                <w:szCs w:val="18"/>
              </w:rPr>
              <w:t xml:space="preserve">Geografía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4</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Ética, Naturaleza y Sociedades</w:t>
            </w:r>
          </w:p>
        </w:tc>
        <w:tc>
          <w:tcPr>
            <w:tcW w:type="dxa" w:w="6968"/>
            <w:tcMar>
              <w:top w:type="dxa" w:w="50"/>
              <w:left w:type="dxa" w:w="70"/>
              <w:bottom w:type="dxa" w:w="50"/>
              <w:right w:type="dxa" w:w="70"/>
            </w:tcMar>
            <w:vAlign w:val="top"/>
          </w:tcPr>
          <w:p>
            <w:pPr>
              <w:spacing w:after="0"/>
            </w:pPr>
            <w:r>
              <w:rPr>
                <w:b/>
                <w:bCs/>
                <w:color w:val="1B2A57"/>
                <w:sz w:val="18"/>
                <w:szCs w:val="18"/>
              </w:rPr>
              <w:t xml:space="preserve">Historia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4</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4</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Ética, Naturaleza y Sociedades</w:t>
            </w:r>
          </w:p>
        </w:tc>
        <w:tc>
          <w:tcPr>
            <w:tcW w:type="dxa" w:w="6968"/>
            <w:tcMar>
              <w:top w:type="dxa" w:w="50"/>
              <w:left w:type="dxa" w:w="70"/>
              <w:bottom w:type="dxa" w:w="50"/>
              <w:right w:type="dxa" w:w="70"/>
            </w:tcMar>
            <w:vAlign w:val="top"/>
          </w:tcPr>
          <w:p>
            <w:pPr>
              <w:spacing w:after="0"/>
            </w:pPr>
            <w:r>
              <w:rPr>
                <w:b/>
                <w:bCs/>
                <w:color w:val="1B2A57"/>
                <w:sz w:val="18"/>
                <w:szCs w:val="18"/>
              </w:rPr>
              <w:t xml:space="preserve">Formación Cívica y Ética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De lo Humano y lo Comunitario</w:t>
            </w:r>
          </w:p>
        </w:tc>
        <w:tc>
          <w:tcPr>
            <w:tcW w:type="dxa" w:w="6968"/>
            <w:tcMar>
              <w:top w:type="dxa" w:w="50"/>
              <w:left w:type="dxa" w:w="70"/>
              <w:bottom w:type="dxa" w:w="50"/>
              <w:right w:type="dxa" w:w="70"/>
            </w:tcMar>
            <w:vAlign w:val="top"/>
          </w:tcPr>
          <w:p>
            <w:pPr>
              <w:spacing w:after="0"/>
            </w:pPr>
            <w:r>
              <w:rPr>
                <w:b/>
                <w:bCs/>
                <w:color w:val="1B2A57"/>
                <w:sz w:val="18"/>
                <w:szCs w:val="18"/>
              </w:rPr>
              <w:t xml:space="preserve">Tecnología (en secundarias técnicas, al menos 8)</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3</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De lo Humano y lo Comunitario</w:t>
            </w:r>
          </w:p>
        </w:tc>
        <w:tc>
          <w:tcPr>
            <w:tcW w:type="dxa" w:w="6968"/>
            <w:tcMar>
              <w:top w:type="dxa" w:w="50"/>
              <w:left w:type="dxa" w:w="70"/>
              <w:bottom w:type="dxa" w:w="50"/>
              <w:right w:type="dxa" w:w="70"/>
            </w:tcMar>
            <w:vAlign w:val="top"/>
          </w:tcPr>
          <w:p>
            <w:pPr>
              <w:spacing w:after="0"/>
            </w:pPr>
            <w:r>
              <w:rPr>
                <w:b/>
                <w:bCs/>
                <w:color w:val="1B2A57"/>
                <w:sz w:val="18"/>
                <w:szCs w:val="18"/>
              </w:rPr>
              <w:t xml:space="preserve">Educación Física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2</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De lo Humano y lo Comunitario</w:t>
            </w:r>
          </w:p>
        </w:tc>
        <w:tc>
          <w:tcPr>
            <w:tcW w:type="dxa" w:w="6968"/>
            <w:tcMar>
              <w:top w:type="dxa" w:w="50"/>
              <w:left w:type="dxa" w:w="70"/>
              <w:bottom w:type="dxa" w:w="50"/>
              <w:right w:type="dxa" w:w="70"/>
            </w:tcMar>
            <w:vAlign w:val="top"/>
          </w:tcPr>
          <w:p>
            <w:pPr>
              <w:spacing w:after="0"/>
            </w:pPr>
            <w:r>
              <w:rPr>
                <w:b/>
                <w:bCs/>
                <w:color w:val="1B2A57"/>
                <w:sz w:val="18"/>
                <w:szCs w:val="18"/>
              </w:rPr>
              <w:t xml:space="preserve">Educación Socioemocional / Tutoría</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r>
      <w:tr>
        <w:trPr>
          <w:cantSplit/>
          <w:trHeight w:val="360" w:hRule="atLeast"/>
        </w:trPr>
        <w:tc>
          <w:tcPr>
            <w:tcW w:type="dxa" w:w="3948"/>
            <w:tcMar>
              <w:top w:type="dxa" w:w="50"/>
              <w:left w:type="dxa" w:w="70"/>
              <w:bottom w:type="dxa" w:w="50"/>
              <w:right w:type="dxa" w:w="70"/>
            </w:tcMar>
            <w:vAlign w:val="top"/>
          </w:tcPr>
          <w:p>
            <w:pPr>
              <w:spacing w:after="0"/>
            </w:pPr>
            <w:r>
              <w:rPr>
                <w:color w:val="1B2A57"/>
                <w:sz w:val="19"/>
                <w:szCs w:val="19"/>
              </w:rPr>
              <w:t xml:space="preserve">—</w:t>
            </w:r>
          </w:p>
        </w:tc>
        <w:tc>
          <w:tcPr>
            <w:tcW w:type="dxa" w:w="6968"/>
            <w:tcMar>
              <w:top w:type="dxa" w:w="50"/>
              <w:left w:type="dxa" w:w="70"/>
              <w:bottom w:type="dxa" w:w="50"/>
              <w:right w:type="dxa" w:w="70"/>
            </w:tcMar>
            <w:vAlign w:val="top"/>
          </w:tcPr>
          <w:p>
            <w:pPr>
              <w:spacing w:after="0"/>
            </w:pPr>
            <w:r>
              <w:rPr>
                <w:b/>
                <w:bCs/>
                <w:color w:val="1B2A57"/>
                <w:sz w:val="18"/>
                <w:szCs w:val="18"/>
              </w:rPr>
              <w:t xml:space="preserve">Integración curricular («espacio curricular»)</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c>
          <w:tcPr>
            <w:tcW w:type="dxa" w:w="1161"/>
            <w:tcMar>
              <w:top w:type="dxa" w:w="50"/>
              <w:left w:type="dxa" w:w="70"/>
              <w:bottom w:type="dxa" w:w="50"/>
              <w:right w:type="dxa" w:w="70"/>
            </w:tcMar>
            <w:vAlign w:val="top"/>
          </w:tcPr>
          <w:p>
            <w:pPr>
              <w:spacing w:after="0"/>
            </w:pPr>
            <w:r>
              <w:rPr>
                <w:b w:val="false"/>
                <w:bCs w:val="false"/>
                <w:color w:val="1B2A57"/>
                <w:sz w:val="18"/>
                <w:szCs w:val="18"/>
              </w:rPr>
              <w:t xml:space="preserve">1</w:t>
            </w:r>
          </w:p>
        </w:tc>
      </w:tr>
    </w:tbl>
    <w:p>
      <w:pPr>
        <w:spacing w:after="60"/>
      </w:pPr>
      <w:r>
        <w:rPr>
          <w:color w:val="4F5878"/>
          <w:sz w:val="16"/>
          <w:szCs w:val="16"/>
        </w:rPr>
        <w:t xml:space="preserve">Campos, descripciones y disciplinas de secundaria: Plan de Estudio para la educación preescolar, primaria y secundaria 2022 (SEP, segunda edición DGME 2024), apartado 8.2 (pp. 136-147). Contenidos y PDA contados en los programas sintéticos de las fases 2 a 6 (SEP, edición 2024; ACUERDO número 08/08/23, DOF 15-08-2023). Consultado el 11 de octubre de 2026.</w:t>
      </w:r>
    </w:p>
    <w:p>
      <w:pPr>
        <w:spacing w:after="60"/>
      </w:pPr>
      <w:r>
        <w:rPr>
          <w:color w:val="4F5878"/>
          <w:sz w:val="16"/>
          <w:szCs w:val="16"/>
        </w:rPr>
        <w:t xml:space="preserve">Material de apoyo de Aulapedia, no es un formato oficial de la SEP. Los textos marcados como literales se copian sin alterar de su fuente; los demás son de Aulapedia.</w:t>
      </w:r>
    </w:p>
    <w:p>
      <w:hyperlink w:history="1" r:id="rIdav9jku3kbgukdpyjg7-xh">
        <w:r>
          <w:rPr>
            <w:rStyle w:val="Hyperlink"/>
            <w:sz w:val="16"/>
            <w:szCs w:val="16"/>
          </w:rPr>
          <w:t xml:space="preserve">https://aulapedia.com/mexico/campos-formativos/</w:t>
        </w:r>
      </w:hyperlink>
    </w:p>
    <w:p>
      <w:pPr>
        <w:spacing w:after="0"/>
      </w:pPr>
      <w:r>
        <w:rPr>
          <w:color w:val="4F5878"/>
          <w:sz w:val="16"/>
          <w:szCs w:val="16"/>
        </w:rPr>
        <w:t xml:space="preserve">Hecho con Aulapedia · aulapedia.com</w:t>
      </w:r>
    </w:p>
    <w:sectPr>
      <w:pgSz w:w="15840" w:h="12240"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7"/>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av9jku3kbgukdpyjg7-xh" Type="http://schemas.openxmlformats.org/officeDocument/2006/relationships/hyperlink" Target="https://aulapedia.com/mexico/campos-formativo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Campos formativos y disciplinas por fase</dc:title>
  <dc:creator>Aulapedia</dc:creator>
  <dc:description>Los cuatro campos formativos de la Nueva Escuela Mexicana, con el número de contenidos y PDA de cada programa sintético y las disciplinas de secundaria.</dc:description>
  <cp:lastModifiedBy>Un-named</cp:lastModifiedBy>
  <cp:revision>1</cp:revision>
  <dcterms:created xsi:type="dcterms:W3CDTF">2026-10-28T16:16:17.267Z</dcterms:created>
  <dcterms:modified xsi:type="dcterms:W3CDTF">2026-10-28T16:16:17.267Z</dcterms:modified>
</cp:coreProperties>
</file>

<file path=docProps/custom.xml><?xml version="1.0" encoding="utf-8"?>
<Properties xmlns="http://schemas.openxmlformats.org/officeDocument/2006/custom-properties" xmlns:vt="http://schemas.openxmlformats.org/officeDocument/2006/docPropsVTypes"/>
</file>