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Programa de Historia: contenidos y PDA</w:t>
      </w:r>
    </w:p>
    <w:p>
      <w:pPr>
        <w:spacing w:after="60"/>
      </w:pPr>
      <w:r>
        <w:rPr>
          <w:color w:val="4F5878"/>
          <w:sz w:val="18"/>
          <w:szCs w:val="18"/>
        </w:rPr>
        <w:t xml:space="preserve">Secundaria · Nueva Escuela Mexicana · Texto oficial del anexo del Acuerdo 08/08/23 (DOF, 15-ago-2023), según el Programa Sintético de la Fase 6 de la SEP (2024). Las columnas «Fecha o periodo» y «Notas» son para tu planeación: no es un formato oficial.</w:t>
      </w:r>
    </w:p>
    <w:p>
      <w:pPr>
        <w:pStyle w:val="Heading1"/>
        <w:spacing w:after="120" w:before="240"/>
      </w:pPr>
      <w:r>
        <w:t xml:space="preserve">1.er grado · 10 contenidos</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88"/>
        <w:gridCol w:w="6480"/>
        <w:gridCol w:w="1440"/>
        <w:gridCol w:w="2592"/>
      </w:tblGrid>
      <w:tr>
        <w:trPr>
          <w:tblHeader/>
        </w:trPr>
        <w:tc>
          <w:tcPr>
            <w:tcW w:type="dxa" w:w="3888"/>
            <w:tcBorders>
              <w:top w:val="single" w:color="4F5878" w:sz="4"/>
              <w:left w:val="single" w:color="4F5878" w:sz="4"/>
              <w:bottom w:val="single" w:color="4F5878" w:sz="4"/>
              <w:right w:val="single" w:color="4F5878" w:sz="4"/>
            </w:tcBorders>
            <w:shd w:fill="E8EBF5" w:val="clear"/>
            <w:tcMar>
              <w:top w:type="dxa" w:w="80"/>
              <w:left w:type="dxa" w:w="100"/>
              <w:bottom w:type="dxa" w:w="80"/>
              <w:right w:type="dxa" w:w="100"/>
            </w:tcMar>
          </w:tcPr>
          <w:p>
            <w:pPr>
              <w:spacing w:after="60"/>
            </w:pPr>
            <w:r>
              <w:rPr>
                <w:b/>
                <w:bCs/>
                <w:sz w:val="18"/>
                <w:szCs w:val="18"/>
              </w:rPr>
              <w:t xml:space="preserve">Contenido</w:t>
            </w:r>
          </w:p>
        </w:tc>
        <w:tc>
          <w:tcPr>
            <w:tcW w:type="dxa" w:w="6480"/>
            <w:tcBorders>
              <w:top w:val="single" w:color="4F5878" w:sz="4"/>
              <w:left w:val="single" w:color="4F5878" w:sz="4"/>
              <w:bottom w:val="single" w:color="4F5878" w:sz="4"/>
              <w:right w:val="single" w:color="4F5878" w:sz="4"/>
            </w:tcBorders>
            <w:shd w:fill="E8EBF5" w:val="clear"/>
            <w:tcMar>
              <w:top w:type="dxa" w:w="80"/>
              <w:left w:type="dxa" w:w="100"/>
              <w:bottom w:type="dxa" w:w="80"/>
              <w:right w:type="dxa" w:w="100"/>
            </w:tcMar>
          </w:tcPr>
          <w:p>
            <w:pPr>
              <w:spacing w:after="60"/>
            </w:pPr>
            <w:r>
              <w:rPr>
                <w:b/>
                <w:bCs/>
                <w:sz w:val="18"/>
                <w:szCs w:val="18"/>
              </w:rPr>
              <w:t xml:space="preserve">Procesos de desarrollo de aprendizaje (PDA)</w:t>
            </w:r>
          </w:p>
        </w:tc>
        <w:tc>
          <w:tcPr>
            <w:tcW w:type="dxa" w:w="1440"/>
            <w:tcBorders>
              <w:top w:val="single" w:color="4F5878" w:sz="4"/>
              <w:left w:val="single" w:color="4F5878" w:sz="4"/>
              <w:bottom w:val="single" w:color="4F5878" w:sz="4"/>
              <w:right w:val="single" w:color="4F5878" w:sz="4"/>
            </w:tcBorders>
            <w:shd w:fill="E8EBF5" w:val="clear"/>
            <w:tcMar>
              <w:top w:type="dxa" w:w="80"/>
              <w:left w:type="dxa" w:w="100"/>
              <w:bottom w:type="dxa" w:w="80"/>
              <w:right w:type="dxa" w:w="100"/>
            </w:tcMar>
          </w:tcPr>
          <w:p>
            <w:pPr>
              <w:spacing w:after="60"/>
            </w:pPr>
            <w:r>
              <w:rPr>
                <w:b/>
                <w:bCs/>
                <w:sz w:val="18"/>
                <w:szCs w:val="18"/>
              </w:rPr>
              <w:t xml:space="preserve">Fecha o periodo</w:t>
            </w:r>
          </w:p>
        </w:tc>
        <w:tc>
          <w:tcPr>
            <w:tcW w:type="dxa" w:w="2592"/>
            <w:tcBorders>
              <w:top w:val="single" w:color="4F5878" w:sz="4"/>
              <w:left w:val="single" w:color="4F5878" w:sz="4"/>
              <w:bottom w:val="single" w:color="4F5878" w:sz="4"/>
              <w:right w:val="single" w:color="4F5878" w:sz="4"/>
            </w:tcBorders>
            <w:shd w:fill="E8EBF5" w:val="clear"/>
            <w:tcMar>
              <w:top w:type="dxa" w:w="80"/>
              <w:left w:type="dxa" w:w="100"/>
              <w:bottom w:type="dxa" w:w="80"/>
              <w:right w:type="dxa" w:w="100"/>
            </w:tcMar>
          </w:tcPr>
          <w:p>
            <w:pPr>
              <w:spacing w:after="60"/>
            </w:pPr>
            <w:r>
              <w:rPr>
                <w:b/>
                <w:bCs/>
                <w:sz w:val="18"/>
                <w:szCs w:val="18"/>
              </w:rPr>
              <w:t xml:space="preserve">Notas</w:t>
            </w:r>
          </w:p>
        </w:tc>
      </w:tr>
      <w:tr>
        <w:tc>
          <w:tcPr>
            <w:tcW w:type="dxa" w:w="3888"/>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b/>
                <w:bCs/>
                <w:sz w:val="19"/>
                <w:szCs w:val="19"/>
              </w:rPr>
              <w:t xml:space="preserve">1. Los albores de la humanidad: los pueblos antiguos del mundo y su devenir.</w:t>
            </w:r>
          </w:p>
        </w:tc>
        <w:tc>
          <w:tcPr>
            <w:tcW w:type="dxa" w:w="6480"/>
            <w:tcBorders>
              <w:top w:val="single" w:color="4F5878" w:sz="4"/>
              <w:left w:val="single" w:color="4F5878" w:sz="4"/>
              <w:bottom w:val="single" w:color="4F5878" w:sz="4"/>
              <w:right w:val="single" w:color="4F5878" w:sz="4"/>
            </w:tcBorders>
            <w:tcMar>
              <w:top w:type="dxa" w:w="80"/>
              <w:left w:type="dxa" w:w="100"/>
              <w:bottom w:type="dxa" w:w="80"/>
              <w:right w:type="dxa" w:w="100"/>
            </w:tcMar>
          </w:tcPr>
          <w:p>
            <w:pPr>
              <w:pStyle w:val="ListParagraph"/>
              <w:numPr>
                <w:ilvl w:val="0"/>
                <w:numId w:val="1"/>
              </w:numPr>
              <w:spacing w:after="60"/>
            </w:pPr>
            <w:r>
              <w:rPr>
                <w:sz w:val="18"/>
                <w:szCs w:val="18"/>
              </w:rPr>
              <w:t xml:space="preserve">Busca, localiza y estudia con sus pares fuentes que dan cuenta de mitos fundacionales de pueblos antiguos.</w:t>
            </w:r>
          </w:p>
          <w:p>
            <w:pPr>
              <w:pStyle w:val="ListParagraph"/>
              <w:numPr>
                <w:ilvl w:val="0"/>
                <w:numId w:val="1"/>
              </w:numPr>
              <w:spacing w:after="60"/>
            </w:pPr>
            <w:r>
              <w:rPr>
                <w:sz w:val="18"/>
                <w:szCs w:val="18"/>
              </w:rPr>
              <w:t xml:space="preserve">Reflexiona acerca de la importancia de las fuentes históricas para la interpretación de hechos y procesos.</w:t>
            </w:r>
          </w:p>
          <w:p>
            <w:pPr>
              <w:pStyle w:val="ListParagraph"/>
              <w:numPr>
                <w:ilvl w:val="0"/>
                <w:numId w:val="1"/>
              </w:numPr>
              <w:spacing w:after="60"/>
            </w:pPr>
            <w:r>
              <w:rPr>
                <w:sz w:val="18"/>
                <w:szCs w:val="18"/>
              </w:rPr>
              <w:t xml:space="preserve">Compara y encuentra lo común y lo diverso entre mitos fundacionales de pueblos antiguos de México y de otras partes del mundo.</w:t>
            </w:r>
          </w:p>
          <w:p>
            <w:pPr>
              <w:pStyle w:val="ListParagraph"/>
              <w:numPr>
                <w:ilvl w:val="0"/>
                <w:numId w:val="1"/>
              </w:numPr>
              <w:spacing w:after="60"/>
            </w:pPr>
            <w:r>
              <w:rPr>
                <w:sz w:val="18"/>
                <w:szCs w:val="18"/>
              </w:rPr>
              <w:t xml:space="preserve">Reflexiona y toma postura en torno a las teorías que explican el poblamiento original de América.</w:t>
            </w:r>
          </w:p>
          <w:p>
            <w:pPr>
              <w:pStyle w:val="ListParagraph"/>
              <w:numPr>
                <w:ilvl w:val="0"/>
                <w:numId w:val="1"/>
              </w:numPr>
              <w:spacing w:after="60"/>
            </w:pPr>
            <w:r>
              <w:rPr>
                <w:sz w:val="18"/>
                <w:szCs w:val="18"/>
              </w:rPr>
              <w:t xml:space="preserve">Distingue y clasifica evidencias históricas que le permiten acercarse al conocimiento del poblamiento original de América.</w:t>
            </w:r>
          </w:p>
          <w:p>
            <w:pPr>
              <w:pStyle w:val="ListParagraph"/>
              <w:numPr>
                <w:ilvl w:val="0"/>
                <w:numId w:val="1"/>
              </w:numPr>
              <w:spacing w:after="60"/>
            </w:pPr>
            <w:r>
              <w:rPr>
                <w:sz w:val="18"/>
                <w:szCs w:val="18"/>
              </w:rPr>
              <w:t xml:space="preserve">Investiga acerca de restos fósiles humanos encontrados en lo que hoy es el territorio de nuestro país.</w:t>
            </w:r>
          </w:p>
          <w:p>
            <w:pPr>
              <w:pStyle w:val="ListParagraph"/>
              <w:numPr>
                <w:ilvl w:val="0"/>
                <w:numId w:val="1"/>
              </w:numPr>
              <w:spacing w:after="60"/>
            </w:pPr>
            <w:r>
              <w:rPr>
                <w:sz w:val="18"/>
                <w:szCs w:val="18"/>
              </w:rPr>
              <w:t xml:space="preserve">Reflexiona en torno al caso del llamado Hombre de Tepexpan y la necesidad de una historia inclusiva que recupere las aportaciones de las mujeres.</w:t>
            </w:r>
          </w:p>
          <w:p>
            <w:pPr>
              <w:pStyle w:val="ListParagraph"/>
              <w:numPr>
                <w:ilvl w:val="0"/>
                <w:numId w:val="1"/>
              </w:numPr>
              <w:spacing w:after="60"/>
            </w:pPr>
            <w:r>
              <w:rPr>
                <w:sz w:val="18"/>
                <w:szCs w:val="18"/>
              </w:rPr>
              <w:t xml:space="preserve">Reconoce que la Historia es una reconstrucción científica del pasado que se hace desde el presente y que al igual que en otras ciencias, la ideología y la metodología del historiador determinan su mirada del pasado.</w:t>
            </w:r>
          </w:p>
          <w:p>
            <w:pPr>
              <w:pStyle w:val="ListParagraph"/>
              <w:numPr>
                <w:ilvl w:val="0"/>
                <w:numId w:val="1"/>
              </w:numPr>
              <w:spacing w:after="60"/>
            </w:pPr>
            <w:r>
              <w:rPr>
                <w:sz w:val="18"/>
                <w:szCs w:val="18"/>
              </w:rPr>
              <w:t xml:space="preserve">Conoce sistemas que tienen como propósito abordar la historia de los primeros pueblos en el territorio de lo que ahora es nuestro país.</w:t>
            </w:r>
          </w:p>
          <w:p>
            <w:pPr>
              <w:pStyle w:val="ListParagraph"/>
              <w:numPr>
                <w:ilvl w:val="0"/>
                <w:numId w:val="1"/>
              </w:numPr>
              <w:spacing w:after="60"/>
            </w:pPr>
            <w:r>
              <w:rPr>
                <w:sz w:val="18"/>
                <w:szCs w:val="18"/>
              </w:rPr>
              <w:t xml:space="preserve">Emplea alguno de estos sistemas para ubicar en el espacio y en el tiempo aspectos de la vida cotidiana de los pueblos antiguos que surgieron en Mesoamérica, Aridoamérica y Oasisamérica.</w:t>
            </w:r>
          </w:p>
          <w:p>
            <w:pPr>
              <w:pStyle w:val="ListParagraph"/>
              <w:numPr>
                <w:ilvl w:val="0"/>
                <w:numId w:val="1"/>
              </w:numPr>
              <w:spacing w:after="60"/>
            </w:pPr>
            <w:r>
              <w:rPr>
                <w:sz w:val="18"/>
                <w:szCs w:val="18"/>
              </w:rPr>
              <w:t xml:space="preserve">Vincula y compara sus representaciones e ideas sobre el nacimiento, la vida o la muerte con las que construyeron los antiguos pueblos de México.</w:t>
            </w:r>
          </w:p>
          <w:p>
            <w:pPr>
              <w:pStyle w:val="ListParagraph"/>
              <w:numPr>
                <w:ilvl w:val="0"/>
                <w:numId w:val="1"/>
              </w:numPr>
              <w:spacing w:after="60"/>
            </w:pPr>
            <w:r>
              <w:rPr>
                <w:sz w:val="18"/>
                <w:szCs w:val="18"/>
              </w:rPr>
              <w:t xml:space="preserve">Pone en juego su capacidad de convertirse en integrante de una cultura mesoamericana para exponer la razón y el sentido de los sacrificios rituales.</w:t>
            </w:r>
          </w:p>
          <w:p>
            <w:pPr>
              <w:pStyle w:val="ListParagraph"/>
              <w:numPr>
                <w:ilvl w:val="0"/>
                <w:numId w:val="1"/>
              </w:numPr>
              <w:spacing w:after="60"/>
            </w:pPr>
            <w:r>
              <w:rPr>
                <w:sz w:val="18"/>
                <w:szCs w:val="18"/>
              </w:rPr>
              <w:t xml:space="preserve">Desarrolla teóricamente el entramado de causas de diverso tipo que dieron lugar a la agricultura mesoamericana y el impacto civilizatorio de ésta en las sociedades que la practicaron.</w:t>
            </w:r>
          </w:p>
          <w:p>
            <w:pPr>
              <w:pStyle w:val="ListParagraph"/>
              <w:numPr>
                <w:ilvl w:val="0"/>
                <w:numId w:val="1"/>
              </w:numPr>
              <w:spacing w:after="60"/>
            </w:pPr>
            <w:r>
              <w:rPr>
                <w:sz w:val="18"/>
                <w:szCs w:val="18"/>
              </w:rPr>
              <w:t xml:space="preserve">Reconoce el significado en su vida de la práctica histórica del cultivo del maíz como una consecuencia de larga duración.</w:t>
            </w:r>
          </w:p>
          <w:p>
            <w:pPr>
              <w:pStyle w:val="ListParagraph"/>
              <w:numPr>
                <w:ilvl w:val="0"/>
                <w:numId w:val="1"/>
              </w:numPr>
              <w:spacing w:after="60"/>
            </w:pPr>
            <w:r>
              <w:rPr>
                <w:sz w:val="18"/>
                <w:szCs w:val="18"/>
              </w:rPr>
              <w:t xml:space="preserve">Reconstruye aspectos de la vida cotidiana en los ámbitos de la economía, la cultura, la sociedad y la política de los pueblos de Mesoamérica.</w:t>
            </w:r>
          </w:p>
          <w:p>
            <w:pPr>
              <w:pStyle w:val="ListParagraph"/>
              <w:numPr>
                <w:ilvl w:val="0"/>
                <w:numId w:val="1"/>
              </w:numPr>
              <w:spacing w:after="60"/>
            </w:pPr>
            <w:r>
              <w:rPr>
                <w:sz w:val="18"/>
                <w:szCs w:val="18"/>
              </w:rPr>
              <w:t xml:space="preserve">Recopila información histórica sobre los pueblos aridoamericanos y oasisamericanos y la organiza en un friso cronológico.</w:t>
            </w:r>
          </w:p>
          <w:p>
            <w:pPr>
              <w:pStyle w:val="ListParagraph"/>
              <w:numPr>
                <w:ilvl w:val="0"/>
                <w:numId w:val="1"/>
              </w:numPr>
              <w:spacing w:after="60"/>
            </w:pPr>
            <w:r>
              <w:rPr>
                <w:sz w:val="18"/>
                <w:szCs w:val="18"/>
              </w:rPr>
              <w:t xml:space="preserve">Compara el desarrollo histórico de pueblos originarios de Norteamérica y Sudamérica y comprende sus semejanzas y diferencias.</w:t>
            </w:r>
          </w:p>
        </w:tc>
        <w:tc>
          <w:tcPr>
            <w:tcW w:type="dxa" w:w="1440"/>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c>
          <w:tcPr>
            <w:tcW w:type="dxa" w:w="2592"/>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r>
      <w:tr>
        <w:tc>
          <w:tcPr>
            <w:tcW w:type="dxa" w:w="3888"/>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b/>
                <w:bCs/>
                <w:sz w:val="19"/>
                <w:szCs w:val="19"/>
              </w:rPr>
              <w:t xml:space="preserve">2. La conformación de las metrópolis y los sistemas de dominación.</w:t>
            </w:r>
          </w:p>
        </w:tc>
        <w:tc>
          <w:tcPr>
            <w:tcW w:type="dxa" w:w="6480"/>
            <w:tcBorders>
              <w:top w:val="single" w:color="4F5878" w:sz="4"/>
              <w:left w:val="single" w:color="4F5878" w:sz="4"/>
              <w:bottom w:val="single" w:color="4F5878" w:sz="4"/>
              <w:right w:val="single" w:color="4F5878" w:sz="4"/>
            </w:tcBorders>
            <w:tcMar>
              <w:top w:type="dxa" w:w="80"/>
              <w:left w:type="dxa" w:w="100"/>
              <w:bottom w:type="dxa" w:w="80"/>
              <w:right w:type="dxa" w:w="100"/>
            </w:tcMar>
          </w:tcPr>
          <w:p>
            <w:pPr>
              <w:pStyle w:val="ListParagraph"/>
              <w:numPr>
                <w:ilvl w:val="0"/>
                <w:numId w:val="1"/>
              </w:numPr>
              <w:spacing w:after="60"/>
            </w:pPr>
            <w:r>
              <w:rPr>
                <w:sz w:val="18"/>
                <w:szCs w:val="18"/>
              </w:rPr>
              <w:t xml:space="preserve">Formula preguntas, recopila información y comparte sus hallazgos en torno a los pueblos originarios de México: ¿Cuántos pueblos son? ¿Dónde están? ¿De dónde llegaron? ¿Cómo vivían antes? ¿Cómo viven ahora? ¿Qué permanece? ¿Qué cambió? ¿Se reconoce en él?</w:t>
            </w:r>
          </w:p>
          <w:p>
            <w:pPr>
              <w:pStyle w:val="ListParagraph"/>
              <w:numPr>
                <w:ilvl w:val="0"/>
                <w:numId w:val="1"/>
              </w:numPr>
              <w:spacing w:after="60"/>
            </w:pPr>
            <w:r>
              <w:rPr>
                <w:sz w:val="18"/>
                <w:szCs w:val="18"/>
              </w:rPr>
              <w:t xml:space="preserve">Construye una línea del tiempo con la historia de algún pueblo originario que le sea entrañable.</w:t>
            </w:r>
          </w:p>
          <w:p>
            <w:pPr>
              <w:pStyle w:val="ListParagraph"/>
              <w:numPr>
                <w:ilvl w:val="0"/>
                <w:numId w:val="1"/>
              </w:numPr>
              <w:spacing w:after="60"/>
            </w:pPr>
            <w:r>
              <w:rPr>
                <w:sz w:val="18"/>
                <w:szCs w:val="18"/>
              </w:rPr>
              <w:t xml:space="preserve">Indaga los orígenes de la población afromexicana, sus aportaciones sociales y a la cultura de nuestro país.</w:t>
            </w:r>
          </w:p>
          <w:p>
            <w:pPr>
              <w:pStyle w:val="ListParagraph"/>
              <w:numPr>
                <w:ilvl w:val="0"/>
                <w:numId w:val="1"/>
              </w:numPr>
              <w:spacing w:after="60"/>
            </w:pPr>
            <w:r>
              <w:rPr>
                <w:sz w:val="18"/>
                <w:szCs w:val="18"/>
              </w:rPr>
              <w:t xml:space="preserve">Identifica representaciones asumidas de los pueblos indígenas y afromexicanos sobre el nacimiento, la vida, la muerte, la tierra, la naturaleza, el agua, el territorio en su comunidad.</w:t>
            </w:r>
          </w:p>
          <w:p>
            <w:pPr>
              <w:pStyle w:val="ListParagraph"/>
              <w:numPr>
                <w:ilvl w:val="0"/>
                <w:numId w:val="1"/>
              </w:numPr>
              <w:spacing w:after="60"/>
            </w:pPr>
            <w:r>
              <w:rPr>
                <w:sz w:val="18"/>
                <w:szCs w:val="18"/>
              </w:rPr>
              <w:t xml:space="preserve">Investiga el arribo de otros pueblos del mundo a nuestro país a largo de la historia y lo expone a sus pares en la organización cronológica que considere más adecuada.</w:t>
            </w:r>
          </w:p>
        </w:tc>
        <w:tc>
          <w:tcPr>
            <w:tcW w:type="dxa" w:w="1440"/>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c>
          <w:tcPr>
            <w:tcW w:type="dxa" w:w="2592"/>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r>
      <w:tr>
        <w:tc>
          <w:tcPr>
            <w:tcW w:type="dxa" w:w="3888"/>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b/>
                <w:bCs/>
                <w:sz w:val="19"/>
                <w:szCs w:val="19"/>
              </w:rPr>
              <w:t xml:space="preserve">3. Las gestas de resistencia y los movimientos independentistas.</w:t>
            </w:r>
          </w:p>
        </w:tc>
        <w:tc>
          <w:tcPr>
            <w:tcW w:type="dxa" w:w="6480"/>
            <w:tcBorders>
              <w:top w:val="single" w:color="4F5878" w:sz="4"/>
              <w:left w:val="single" w:color="4F5878" w:sz="4"/>
              <w:bottom w:val="single" w:color="4F5878" w:sz="4"/>
              <w:right w:val="single" w:color="4F5878" w:sz="4"/>
            </w:tcBorders>
            <w:tcMar>
              <w:top w:type="dxa" w:w="80"/>
              <w:left w:type="dxa" w:w="100"/>
              <w:bottom w:type="dxa" w:w="80"/>
              <w:right w:type="dxa" w:w="100"/>
            </w:tcMar>
          </w:tcPr>
          <w:p>
            <w:pPr>
              <w:pStyle w:val="ListParagraph"/>
              <w:numPr>
                <w:ilvl w:val="0"/>
                <w:numId w:val="1"/>
              </w:numPr>
              <w:spacing w:after="60"/>
            </w:pPr>
            <w:r>
              <w:rPr>
                <w:sz w:val="18"/>
                <w:szCs w:val="18"/>
              </w:rPr>
              <w:t xml:space="preserve">Indaga sobre rebeliones y levantamientos de pueblos indígenas y afromexicanos en la historia de nuestro país y se acerca a comprender sus causas.</w:t>
            </w:r>
          </w:p>
          <w:p>
            <w:pPr>
              <w:pStyle w:val="ListParagraph"/>
              <w:numPr>
                <w:ilvl w:val="0"/>
                <w:numId w:val="1"/>
              </w:numPr>
              <w:spacing w:after="60"/>
            </w:pPr>
            <w:r>
              <w:rPr>
                <w:sz w:val="18"/>
                <w:szCs w:val="18"/>
              </w:rPr>
              <w:t xml:space="preserve">Emite juicios acerca de agravios o crímenes a los que han sido sujetos los pueblos indígenas y afromexicanos.</w:t>
            </w:r>
          </w:p>
        </w:tc>
        <w:tc>
          <w:tcPr>
            <w:tcW w:type="dxa" w:w="1440"/>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c>
          <w:tcPr>
            <w:tcW w:type="dxa" w:w="2592"/>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r>
      <w:tr>
        <w:tc>
          <w:tcPr>
            <w:tcW w:type="dxa" w:w="3888"/>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b/>
                <w:bCs/>
                <w:sz w:val="19"/>
                <w:szCs w:val="19"/>
              </w:rPr>
              <w:t xml:space="preserve">6. La construcción histórica de las ideas sobre las juventudes e infancias.</w:t>
            </w:r>
          </w:p>
        </w:tc>
        <w:tc>
          <w:tcPr>
            <w:tcW w:type="dxa" w:w="6480"/>
            <w:tcBorders>
              <w:top w:val="single" w:color="4F5878" w:sz="4"/>
              <w:left w:val="single" w:color="4F5878" w:sz="4"/>
              <w:bottom w:val="single" w:color="4F5878" w:sz="4"/>
              <w:right w:val="single" w:color="4F5878" w:sz="4"/>
            </w:tcBorders>
            <w:tcMar>
              <w:top w:type="dxa" w:w="80"/>
              <w:left w:type="dxa" w:w="100"/>
              <w:bottom w:type="dxa" w:w="80"/>
              <w:right w:type="dxa" w:w="100"/>
            </w:tcMar>
          </w:tcPr>
          <w:p>
            <w:pPr>
              <w:pStyle w:val="ListParagraph"/>
              <w:numPr>
                <w:ilvl w:val="0"/>
                <w:numId w:val="1"/>
              </w:numPr>
              <w:spacing w:after="60"/>
            </w:pPr>
            <w:r>
              <w:rPr>
                <w:sz w:val="18"/>
                <w:szCs w:val="18"/>
              </w:rPr>
              <w:t xml:space="preserve">Identifica las ideas y representaciones de las personas de acuerdo con su edad en diversos momentos históricos.</w:t>
            </w:r>
          </w:p>
          <w:p>
            <w:pPr>
              <w:pStyle w:val="ListParagraph"/>
              <w:numPr>
                <w:ilvl w:val="0"/>
                <w:numId w:val="1"/>
              </w:numPr>
              <w:spacing w:after="60"/>
            </w:pPr>
            <w:r>
              <w:rPr>
                <w:sz w:val="18"/>
                <w:szCs w:val="18"/>
              </w:rPr>
              <w:t xml:space="preserve">Comprende los cambios y permanencias en las características y tareas que las sociedades asignan a las personas, de acuerdo con su edad.</w:t>
            </w:r>
          </w:p>
          <w:p>
            <w:pPr>
              <w:pStyle w:val="ListParagraph"/>
              <w:numPr>
                <w:ilvl w:val="0"/>
                <w:numId w:val="1"/>
              </w:numPr>
              <w:spacing w:after="60"/>
            </w:pPr>
            <w:r>
              <w:rPr>
                <w:sz w:val="18"/>
                <w:szCs w:val="18"/>
              </w:rPr>
              <w:t xml:space="preserve">Explica, con base en fuentes, las actividades asignadas a las personas según su edad en sociedades y momentos históricos diversos.</w:t>
            </w:r>
          </w:p>
        </w:tc>
        <w:tc>
          <w:tcPr>
            <w:tcW w:type="dxa" w:w="1440"/>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c>
          <w:tcPr>
            <w:tcW w:type="dxa" w:w="2592"/>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r>
      <w:tr>
        <w:tc>
          <w:tcPr>
            <w:tcW w:type="dxa" w:w="3888"/>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b/>
                <w:bCs/>
                <w:sz w:val="19"/>
                <w:szCs w:val="19"/>
              </w:rPr>
              <w:t xml:space="preserve">7. Las mujeres y sus historias.</w:t>
            </w:r>
          </w:p>
        </w:tc>
        <w:tc>
          <w:tcPr>
            <w:tcW w:type="dxa" w:w="6480"/>
            <w:tcBorders>
              <w:top w:val="single" w:color="4F5878" w:sz="4"/>
              <w:left w:val="single" w:color="4F5878" w:sz="4"/>
              <w:bottom w:val="single" w:color="4F5878" w:sz="4"/>
              <w:right w:val="single" w:color="4F5878" w:sz="4"/>
            </w:tcBorders>
            <w:tcMar>
              <w:top w:type="dxa" w:w="80"/>
              <w:left w:type="dxa" w:w="100"/>
              <w:bottom w:type="dxa" w:w="80"/>
              <w:right w:type="dxa" w:w="100"/>
            </w:tcMar>
          </w:tcPr>
          <w:p>
            <w:pPr>
              <w:pStyle w:val="ListParagraph"/>
              <w:numPr>
                <w:ilvl w:val="0"/>
                <w:numId w:val="1"/>
              </w:numPr>
              <w:spacing w:after="60"/>
            </w:pPr>
            <w:r>
              <w:rPr>
                <w:sz w:val="18"/>
                <w:szCs w:val="18"/>
              </w:rPr>
              <w:t xml:space="preserve">Revisa fuentes históricas para identificar la participación de las mujeres en la sociedad en diversos momentos históricos.</w:t>
            </w:r>
          </w:p>
          <w:p>
            <w:pPr>
              <w:pStyle w:val="ListParagraph"/>
              <w:numPr>
                <w:ilvl w:val="0"/>
                <w:numId w:val="1"/>
              </w:numPr>
              <w:spacing w:after="60"/>
            </w:pPr>
            <w:r>
              <w:rPr>
                <w:sz w:val="18"/>
                <w:szCs w:val="18"/>
              </w:rPr>
              <w:t xml:space="preserve">Indaga sobre el protagonismo social de las mujeres en diferentes procesos históricos, para reconocer la relevancia de su participación.</w:t>
            </w:r>
          </w:p>
          <w:p>
            <w:pPr>
              <w:pStyle w:val="ListParagraph"/>
              <w:numPr>
                <w:ilvl w:val="0"/>
                <w:numId w:val="1"/>
              </w:numPr>
              <w:spacing w:after="60"/>
            </w:pPr>
            <w:r>
              <w:rPr>
                <w:sz w:val="18"/>
                <w:szCs w:val="18"/>
              </w:rPr>
              <w:t xml:space="preserve">Contrasta fuentes históricas para identificar cambios y permanencias en la participación de las mujeres en diversos momentos históricos.</w:t>
            </w:r>
          </w:p>
          <w:p>
            <w:pPr>
              <w:pStyle w:val="ListParagraph"/>
              <w:numPr>
                <w:ilvl w:val="0"/>
                <w:numId w:val="1"/>
              </w:numPr>
              <w:spacing w:after="60"/>
            </w:pPr>
            <w:r>
              <w:rPr>
                <w:sz w:val="18"/>
                <w:szCs w:val="18"/>
              </w:rPr>
              <w:t xml:space="preserve">Analiza los testimonios producidos por las mujeres en distintos momentos históricos.</w:t>
            </w:r>
          </w:p>
          <w:p>
            <w:pPr>
              <w:pStyle w:val="ListParagraph"/>
              <w:numPr>
                <w:ilvl w:val="0"/>
                <w:numId w:val="1"/>
              </w:numPr>
              <w:spacing w:after="60"/>
            </w:pPr>
            <w:r>
              <w:rPr>
                <w:sz w:val="18"/>
                <w:szCs w:val="18"/>
              </w:rPr>
              <w:t xml:space="preserve">Argumenta las causas de los principales cambios históricos que ha tenido la participación social de las mujeres.</w:t>
            </w:r>
          </w:p>
          <w:p>
            <w:pPr>
              <w:pStyle w:val="ListParagraph"/>
              <w:numPr>
                <w:ilvl w:val="0"/>
                <w:numId w:val="1"/>
              </w:numPr>
              <w:spacing w:after="60"/>
            </w:pPr>
            <w:r>
              <w:rPr>
                <w:sz w:val="18"/>
                <w:szCs w:val="18"/>
              </w:rPr>
              <w:t xml:space="preserve">Argumenta cómo el “deber ser” de las mujeres ha cambiado a través del tiempo.</w:t>
            </w:r>
          </w:p>
        </w:tc>
        <w:tc>
          <w:tcPr>
            <w:tcW w:type="dxa" w:w="1440"/>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c>
          <w:tcPr>
            <w:tcW w:type="dxa" w:w="2592"/>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r>
      <w:tr>
        <w:tc>
          <w:tcPr>
            <w:tcW w:type="dxa" w:w="3888"/>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b/>
                <w:bCs/>
                <w:sz w:val="19"/>
                <w:szCs w:val="19"/>
              </w:rPr>
              <w:t xml:space="preserve">8. Las luchas de las mujeres por sus derechos.</w:t>
            </w:r>
          </w:p>
        </w:tc>
        <w:tc>
          <w:tcPr>
            <w:tcW w:type="dxa" w:w="6480"/>
            <w:tcBorders>
              <w:top w:val="single" w:color="4F5878" w:sz="4"/>
              <w:left w:val="single" w:color="4F5878" w:sz="4"/>
              <w:bottom w:val="single" w:color="4F5878" w:sz="4"/>
              <w:right w:val="single" w:color="4F5878" w:sz="4"/>
            </w:tcBorders>
            <w:tcMar>
              <w:top w:type="dxa" w:w="80"/>
              <w:left w:type="dxa" w:w="100"/>
              <w:bottom w:type="dxa" w:w="80"/>
              <w:right w:type="dxa" w:w="100"/>
            </w:tcMar>
          </w:tcPr>
          <w:p>
            <w:pPr>
              <w:pStyle w:val="ListParagraph"/>
              <w:numPr>
                <w:ilvl w:val="0"/>
                <w:numId w:val="1"/>
              </w:numPr>
              <w:spacing w:after="60"/>
            </w:pPr>
            <w:r>
              <w:rPr>
                <w:sz w:val="18"/>
                <w:szCs w:val="18"/>
              </w:rPr>
              <w:t xml:space="preserve">Identifica los orígenes históricos de movimientos y organizaciones de mujeres en la lucha por la igualdad y el reconocimiento de sus derechos.</w:t>
            </w:r>
          </w:p>
          <w:p>
            <w:pPr>
              <w:pStyle w:val="ListParagraph"/>
              <w:numPr>
                <w:ilvl w:val="0"/>
                <w:numId w:val="1"/>
              </w:numPr>
              <w:spacing w:after="60"/>
            </w:pPr>
            <w:r>
              <w:rPr>
                <w:sz w:val="18"/>
                <w:szCs w:val="18"/>
              </w:rPr>
              <w:t xml:space="preserve">Comprende los cambios y permanencias en las luchas de las mujeres por una vida igualitaria y libre de violencia.</w:t>
            </w:r>
          </w:p>
          <w:p>
            <w:pPr>
              <w:pStyle w:val="ListParagraph"/>
              <w:numPr>
                <w:ilvl w:val="0"/>
                <w:numId w:val="1"/>
              </w:numPr>
              <w:spacing w:after="60"/>
            </w:pPr>
            <w:r>
              <w:rPr>
                <w:sz w:val="18"/>
                <w:szCs w:val="18"/>
              </w:rPr>
              <w:t xml:space="preserve">Analiza las causas de los movimientos feministas y reconoce el marco normativo nacional e internacional que protege los derechos de las mujeres.</w:t>
            </w:r>
          </w:p>
        </w:tc>
        <w:tc>
          <w:tcPr>
            <w:tcW w:type="dxa" w:w="1440"/>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c>
          <w:tcPr>
            <w:tcW w:type="dxa" w:w="2592"/>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r>
      <w:tr>
        <w:tc>
          <w:tcPr>
            <w:tcW w:type="dxa" w:w="3888"/>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b/>
                <w:bCs/>
                <w:sz w:val="19"/>
                <w:szCs w:val="19"/>
              </w:rPr>
              <w:t xml:space="preserve">9. Relaciones de poder y lucha por los derechos de grupos históricamente discriminados o subrepresentados.</w:t>
            </w:r>
          </w:p>
        </w:tc>
        <w:tc>
          <w:tcPr>
            <w:tcW w:type="dxa" w:w="6480"/>
            <w:tcBorders>
              <w:top w:val="single" w:color="4F5878" w:sz="4"/>
              <w:left w:val="single" w:color="4F5878" w:sz="4"/>
              <w:bottom w:val="single" w:color="4F5878" w:sz="4"/>
              <w:right w:val="single" w:color="4F5878" w:sz="4"/>
            </w:tcBorders>
            <w:tcMar>
              <w:top w:type="dxa" w:w="80"/>
              <w:left w:type="dxa" w:w="100"/>
              <w:bottom w:type="dxa" w:w="80"/>
              <w:right w:type="dxa" w:w="100"/>
            </w:tcMar>
          </w:tcPr>
          <w:p>
            <w:pPr>
              <w:pStyle w:val="ListParagraph"/>
              <w:numPr>
                <w:ilvl w:val="0"/>
                <w:numId w:val="1"/>
              </w:numPr>
              <w:spacing w:after="60"/>
            </w:pPr>
            <w:r>
              <w:rPr>
                <w:sz w:val="18"/>
                <w:szCs w:val="18"/>
              </w:rPr>
              <w:t xml:space="preserve">Identifica las problemáticas de violencia hacia pueblos originarios, afrodescendientes, migrantes y comunidad LGBTTTIQ+ en distintos procesos históricos.</w:t>
            </w:r>
          </w:p>
          <w:p>
            <w:pPr>
              <w:pStyle w:val="ListParagraph"/>
              <w:numPr>
                <w:ilvl w:val="0"/>
                <w:numId w:val="1"/>
              </w:numPr>
              <w:spacing w:after="60"/>
            </w:pPr>
            <w:r>
              <w:rPr>
                <w:sz w:val="18"/>
                <w:szCs w:val="18"/>
              </w:rPr>
              <w:t xml:space="preserve">Argumenta sobre los cambios y permanencias en la lucha por erradicar la violencia hacia pueblos originarios, afrodescendientes, migrantes y comunidad LGBTTTIQ+ en distintos procesos históricos.</w:t>
            </w:r>
          </w:p>
        </w:tc>
        <w:tc>
          <w:tcPr>
            <w:tcW w:type="dxa" w:w="1440"/>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c>
          <w:tcPr>
            <w:tcW w:type="dxa" w:w="2592"/>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r>
      <w:tr>
        <w:tc>
          <w:tcPr>
            <w:tcW w:type="dxa" w:w="3888"/>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b/>
                <w:bCs/>
                <w:sz w:val="19"/>
                <w:szCs w:val="19"/>
              </w:rPr>
              <w:t xml:space="preserve">10. Discriminación, racismo, sexismo y prejuicios como construcciones históricas.</w:t>
            </w:r>
          </w:p>
        </w:tc>
        <w:tc>
          <w:tcPr>
            <w:tcW w:type="dxa" w:w="6480"/>
            <w:tcBorders>
              <w:top w:val="single" w:color="4F5878" w:sz="4"/>
              <w:left w:val="single" w:color="4F5878" w:sz="4"/>
              <w:bottom w:val="single" w:color="4F5878" w:sz="4"/>
              <w:right w:val="single" w:color="4F5878" w:sz="4"/>
            </w:tcBorders>
            <w:tcMar>
              <w:top w:type="dxa" w:w="80"/>
              <w:left w:type="dxa" w:w="100"/>
              <w:bottom w:type="dxa" w:w="80"/>
              <w:right w:type="dxa" w:w="100"/>
            </w:tcMar>
          </w:tcPr>
          <w:p>
            <w:pPr>
              <w:pStyle w:val="ListParagraph"/>
              <w:numPr>
                <w:ilvl w:val="0"/>
                <w:numId w:val="1"/>
              </w:numPr>
              <w:spacing w:after="60"/>
            </w:pPr>
            <w:r>
              <w:rPr>
                <w:sz w:val="18"/>
                <w:szCs w:val="18"/>
              </w:rPr>
              <w:t xml:space="preserve">Identifica las causas históricas del racismo y la xenofobia y las relaciona críticamente con sus consecuencias.</w:t>
            </w:r>
          </w:p>
          <w:p>
            <w:pPr>
              <w:pStyle w:val="ListParagraph"/>
              <w:numPr>
                <w:ilvl w:val="0"/>
                <w:numId w:val="1"/>
              </w:numPr>
              <w:spacing w:after="60"/>
            </w:pPr>
            <w:r>
              <w:rPr>
                <w:sz w:val="18"/>
                <w:szCs w:val="18"/>
              </w:rPr>
              <w:t xml:space="preserve">Analiza la relevancia histórica del racismo en la justificación de actos que atentaron contra la vida de personas o grupos.</w:t>
            </w:r>
          </w:p>
          <w:p>
            <w:pPr>
              <w:pStyle w:val="ListParagraph"/>
              <w:numPr>
                <w:ilvl w:val="0"/>
                <w:numId w:val="1"/>
              </w:numPr>
              <w:spacing w:after="60"/>
            </w:pPr>
            <w:r>
              <w:rPr>
                <w:sz w:val="18"/>
                <w:szCs w:val="18"/>
              </w:rPr>
              <w:t xml:space="preserve">Comprende las causas y consecuencias históricas del racismo y propone acciones en su vida cotidiana y en la de su comunidad escolar para combatirlo.</w:t>
            </w:r>
          </w:p>
        </w:tc>
        <w:tc>
          <w:tcPr>
            <w:tcW w:type="dxa" w:w="1440"/>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c>
          <w:tcPr>
            <w:tcW w:type="dxa" w:w="2592"/>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r>
      <w:tr>
        <w:tc>
          <w:tcPr>
            <w:tcW w:type="dxa" w:w="3888"/>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b/>
                <w:bCs/>
                <w:sz w:val="19"/>
                <w:szCs w:val="19"/>
              </w:rPr>
              <w:t xml:space="preserve">11. Movilidades humanas, migraciones y nuevos escenarios para la vida.</w:t>
            </w:r>
          </w:p>
        </w:tc>
        <w:tc>
          <w:tcPr>
            <w:tcW w:type="dxa" w:w="6480"/>
            <w:tcBorders>
              <w:top w:val="single" w:color="4F5878" w:sz="4"/>
              <w:left w:val="single" w:color="4F5878" w:sz="4"/>
              <w:bottom w:val="single" w:color="4F5878" w:sz="4"/>
              <w:right w:val="single" w:color="4F5878" w:sz="4"/>
            </w:tcBorders>
            <w:tcMar>
              <w:top w:type="dxa" w:w="80"/>
              <w:left w:type="dxa" w:w="100"/>
              <w:bottom w:type="dxa" w:w="80"/>
              <w:right w:type="dxa" w:w="100"/>
            </w:tcMar>
          </w:tcPr>
          <w:p>
            <w:pPr>
              <w:pStyle w:val="ListParagraph"/>
              <w:numPr>
                <w:ilvl w:val="0"/>
                <w:numId w:val="1"/>
              </w:numPr>
              <w:spacing w:after="60"/>
            </w:pPr>
            <w:r>
              <w:rPr>
                <w:sz w:val="18"/>
                <w:szCs w:val="18"/>
              </w:rPr>
              <w:t xml:space="preserve">Comprende procesos históricos relevantes en los que grupos humanos se desplazaron por los territorios a lo largo del tiempo.</w:t>
            </w:r>
          </w:p>
          <w:p>
            <w:pPr>
              <w:pStyle w:val="ListParagraph"/>
              <w:numPr>
                <w:ilvl w:val="0"/>
                <w:numId w:val="1"/>
              </w:numPr>
              <w:spacing w:after="60"/>
            </w:pPr>
            <w:r>
              <w:rPr>
                <w:sz w:val="18"/>
                <w:szCs w:val="18"/>
              </w:rPr>
              <w:t xml:space="preserve">Explica procesos históricos relevantes en los que grupos humanos se desplazaron por territorios en periodos de tiempo de corta o larga duración</w:t>
            </w:r>
          </w:p>
        </w:tc>
        <w:tc>
          <w:tcPr>
            <w:tcW w:type="dxa" w:w="1440"/>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c>
          <w:tcPr>
            <w:tcW w:type="dxa" w:w="2592"/>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r>
      <w:tr>
        <w:tc>
          <w:tcPr>
            <w:tcW w:type="dxa" w:w="3888"/>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b/>
                <w:bCs/>
                <w:sz w:val="19"/>
                <w:szCs w:val="19"/>
              </w:rPr>
              <w:t xml:space="preserve">12. Amor, amistad, familias y relaciones entre las personas en la historia.</w:t>
            </w:r>
          </w:p>
        </w:tc>
        <w:tc>
          <w:tcPr>
            <w:tcW w:type="dxa" w:w="6480"/>
            <w:tcBorders>
              <w:top w:val="single" w:color="4F5878" w:sz="4"/>
              <w:left w:val="single" w:color="4F5878" w:sz="4"/>
              <w:bottom w:val="single" w:color="4F5878" w:sz="4"/>
              <w:right w:val="single" w:color="4F5878" w:sz="4"/>
            </w:tcBorders>
            <w:tcMar>
              <w:top w:type="dxa" w:w="80"/>
              <w:left w:type="dxa" w:w="100"/>
              <w:bottom w:type="dxa" w:w="80"/>
              <w:right w:type="dxa" w:w="100"/>
            </w:tcMar>
          </w:tcPr>
          <w:p>
            <w:pPr>
              <w:pStyle w:val="ListParagraph"/>
              <w:numPr>
                <w:ilvl w:val="0"/>
                <w:numId w:val="1"/>
              </w:numPr>
              <w:spacing w:after="60"/>
            </w:pPr>
            <w:r>
              <w:rPr>
                <w:sz w:val="18"/>
                <w:szCs w:val="18"/>
              </w:rPr>
              <w:t xml:space="preserve">Comprende que la forma en la que las personas piensan y actúan en relación con el amor, la amistad y las familias se construye en la sociedad y cambia históricamente.</w:t>
            </w:r>
          </w:p>
          <w:p>
            <w:pPr>
              <w:pStyle w:val="ListParagraph"/>
              <w:numPr>
                <w:ilvl w:val="0"/>
                <w:numId w:val="1"/>
              </w:numPr>
              <w:spacing w:after="60"/>
            </w:pPr>
            <w:r>
              <w:rPr>
                <w:sz w:val="18"/>
                <w:szCs w:val="18"/>
              </w:rPr>
              <w:t xml:space="preserve">Explica los cambios que las concepciones sobre el amor, la amistad y las familias han tenido a lo largo del tiempo y en diversos contextos sociales y geográficos.</w:t>
            </w:r>
          </w:p>
        </w:tc>
        <w:tc>
          <w:tcPr>
            <w:tcW w:type="dxa" w:w="1440"/>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c>
          <w:tcPr>
            <w:tcW w:type="dxa" w:w="2592"/>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r>
    </w:tbl>
    <w:p>
      <w:pPr>
        <w:spacing w:after="60"/>
      </w:pPr>
      <w:r>
        <w:rPr>
          <w:color w:val="4F5878"/>
          <w:sz w:val="16"/>
          <w:szCs w:val="16"/>
        </w:rPr>
        <w:t xml:space="preserve">En 1.er grado el programa no tiene PDA para: 4. Las revoluciones modernas y sus tendencias 5. Las tensiones en el siglo XX.</w:t>
      </w:r>
    </w:p>
    <w:p>
      <w:pPr>
        <w:pStyle w:val="Heading1"/>
        <w:spacing w:after="120" w:before="240"/>
      </w:pPr>
      <w:r>
        <w:t xml:space="preserve">2.º grado · 4 contenidos</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88"/>
        <w:gridCol w:w="6480"/>
        <w:gridCol w:w="1440"/>
        <w:gridCol w:w="2592"/>
      </w:tblGrid>
      <w:tr>
        <w:trPr>
          <w:tblHeader/>
        </w:trPr>
        <w:tc>
          <w:tcPr>
            <w:tcW w:type="dxa" w:w="3888"/>
            <w:tcBorders>
              <w:top w:val="single" w:color="4F5878" w:sz="4"/>
              <w:left w:val="single" w:color="4F5878" w:sz="4"/>
              <w:bottom w:val="single" w:color="4F5878" w:sz="4"/>
              <w:right w:val="single" w:color="4F5878" w:sz="4"/>
            </w:tcBorders>
            <w:shd w:fill="E8EBF5" w:val="clear"/>
            <w:tcMar>
              <w:top w:type="dxa" w:w="80"/>
              <w:left w:type="dxa" w:w="100"/>
              <w:bottom w:type="dxa" w:w="80"/>
              <w:right w:type="dxa" w:w="100"/>
            </w:tcMar>
          </w:tcPr>
          <w:p>
            <w:pPr>
              <w:spacing w:after="60"/>
            </w:pPr>
            <w:r>
              <w:rPr>
                <w:b/>
                <w:bCs/>
                <w:sz w:val="18"/>
                <w:szCs w:val="18"/>
              </w:rPr>
              <w:t xml:space="preserve">Contenido</w:t>
            </w:r>
          </w:p>
        </w:tc>
        <w:tc>
          <w:tcPr>
            <w:tcW w:type="dxa" w:w="6480"/>
            <w:tcBorders>
              <w:top w:val="single" w:color="4F5878" w:sz="4"/>
              <w:left w:val="single" w:color="4F5878" w:sz="4"/>
              <w:bottom w:val="single" w:color="4F5878" w:sz="4"/>
              <w:right w:val="single" w:color="4F5878" w:sz="4"/>
            </w:tcBorders>
            <w:shd w:fill="E8EBF5" w:val="clear"/>
            <w:tcMar>
              <w:top w:type="dxa" w:w="80"/>
              <w:left w:type="dxa" w:w="100"/>
              <w:bottom w:type="dxa" w:w="80"/>
              <w:right w:type="dxa" w:w="100"/>
            </w:tcMar>
          </w:tcPr>
          <w:p>
            <w:pPr>
              <w:spacing w:after="60"/>
            </w:pPr>
            <w:r>
              <w:rPr>
                <w:b/>
                <w:bCs/>
                <w:sz w:val="18"/>
                <w:szCs w:val="18"/>
              </w:rPr>
              <w:t xml:space="preserve">Procesos de desarrollo de aprendizaje (PDA)</w:t>
            </w:r>
          </w:p>
        </w:tc>
        <w:tc>
          <w:tcPr>
            <w:tcW w:type="dxa" w:w="1440"/>
            <w:tcBorders>
              <w:top w:val="single" w:color="4F5878" w:sz="4"/>
              <w:left w:val="single" w:color="4F5878" w:sz="4"/>
              <w:bottom w:val="single" w:color="4F5878" w:sz="4"/>
              <w:right w:val="single" w:color="4F5878" w:sz="4"/>
            </w:tcBorders>
            <w:shd w:fill="E8EBF5" w:val="clear"/>
            <w:tcMar>
              <w:top w:type="dxa" w:w="80"/>
              <w:left w:type="dxa" w:w="100"/>
              <w:bottom w:type="dxa" w:w="80"/>
              <w:right w:type="dxa" w:w="100"/>
            </w:tcMar>
          </w:tcPr>
          <w:p>
            <w:pPr>
              <w:spacing w:after="60"/>
            </w:pPr>
            <w:r>
              <w:rPr>
                <w:b/>
                <w:bCs/>
                <w:sz w:val="18"/>
                <w:szCs w:val="18"/>
              </w:rPr>
              <w:t xml:space="preserve">Fecha o periodo</w:t>
            </w:r>
          </w:p>
        </w:tc>
        <w:tc>
          <w:tcPr>
            <w:tcW w:type="dxa" w:w="2592"/>
            <w:tcBorders>
              <w:top w:val="single" w:color="4F5878" w:sz="4"/>
              <w:left w:val="single" w:color="4F5878" w:sz="4"/>
              <w:bottom w:val="single" w:color="4F5878" w:sz="4"/>
              <w:right w:val="single" w:color="4F5878" w:sz="4"/>
            </w:tcBorders>
            <w:shd w:fill="E8EBF5" w:val="clear"/>
            <w:tcMar>
              <w:top w:type="dxa" w:w="80"/>
              <w:left w:type="dxa" w:w="100"/>
              <w:bottom w:type="dxa" w:w="80"/>
              <w:right w:type="dxa" w:w="100"/>
            </w:tcMar>
          </w:tcPr>
          <w:p>
            <w:pPr>
              <w:spacing w:after="60"/>
            </w:pPr>
            <w:r>
              <w:rPr>
                <w:b/>
                <w:bCs/>
                <w:sz w:val="18"/>
                <w:szCs w:val="18"/>
              </w:rPr>
              <w:t xml:space="preserve">Notas</w:t>
            </w:r>
          </w:p>
        </w:tc>
      </w:tr>
      <w:tr>
        <w:tc>
          <w:tcPr>
            <w:tcW w:type="dxa" w:w="3888"/>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b/>
                <w:bCs/>
                <w:sz w:val="19"/>
                <w:szCs w:val="19"/>
              </w:rPr>
              <w:t xml:space="preserve">2. La conformación de las metrópolis y los sistemas de dominación.</w:t>
            </w:r>
          </w:p>
        </w:tc>
        <w:tc>
          <w:tcPr>
            <w:tcW w:type="dxa" w:w="6480"/>
            <w:tcBorders>
              <w:top w:val="single" w:color="4F5878" w:sz="4"/>
              <w:left w:val="single" w:color="4F5878" w:sz="4"/>
              <w:bottom w:val="single" w:color="4F5878" w:sz="4"/>
              <w:right w:val="single" w:color="4F5878" w:sz="4"/>
            </w:tcBorders>
            <w:tcMar>
              <w:top w:type="dxa" w:w="80"/>
              <w:left w:type="dxa" w:w="100"/>
              <w:bottom w:type="dxa" w:w="80"/>
              <w:right w:type="dxa" w:w="100"/>
            </w:tcMar>
          </w:tcPr>
          <w:p>
            <w:pPr>
              <w:pStyle w:val="ListParagraph"/>
              <w:numPr>
                <w:ilvl w:val="0"/>
                <w:numId w:val="1"/>
              </w:numPr>
              <w:spacing w:after="60"/>
            </w:pPr>
            <w:r>
              <w:rPr>
                <w:sz w:val="18"/>
                <w:szCs w:val="18"/>
              </w:rPr>
              <w:t xml:space="preserve">Indaga acerca del desarrollo del comercio y su impacto en la geografía y la navegación en Europa y Asia en el Siglo XV.</w:t>
            </w:r>
          </w:p>
          <w:p>
            <w:pPr>
              <w:pStyle w:val="ListParagraph"/>
              <w:numPr>
                <w:ilvl w:val="0"/>
                <w:numId w:val="1"/>
              </w:numPr>
              <w:spacing w:after="60"/>
            </w:pPr>
            <w:r>
              <w:rPr>
                <w:sz w:val="18"/>
                <w:szCs w:val="18"/>
              </w:rPr>
              <w:t xml:space="preserve">Explica la consolidación del Reino Español alrededor de Isabel I de Castilla y Fernando II de Aragón como personajes históricos en este proceso.</w:t>
            </w:r>
          </w:p>
          <w:p>
            <w:pPr>
              <w:pStyle w:val="ListParagraph"/>
              <w:numPr>
                <w:ilvl w:val="0"/>
                <w:numId w:val="1"/>
              </w:numPr>
              <w:spacing w:after="60"/>
            </w:pPr>
            <w:r>
              <w:rPr>
                <w:sz w:val="18"/>
                <w:szCs w:val="18"/>
              </w:rPr>
              <w:t xml:space="preserve">Busca información acerca de la expedición de 1492 de Cristóbal Colón y el descubrimiento de América.</w:t>
            </w:r>
          </w:p>
          <w:p>
            <w:pPr>
              <w:pStyle w:val="ListParagraph"/>
              <w:numPr>
                <w:ilvl w:val="0"/>
                <w:numId w:val="1"/>
              </w:numPr>
              <w:spacing w:after="60"/>
            </w:pPr>
            <w:r>
              <w:rPr>
                <w:sz w:val="18"/>
                <w:szCs w:val="18"/>
              </w:rPr>
              <w:t xml:space="preserve">Revisa desde una perspectiva fundada en valores universales, como la libertad, la justicia, el respeto y la tolerancia, el contenido de las Bulas Alejandrinas y el Tratado de Tordesillas.</w:t>
            </w:r>
          </w:p>
          <w:p>
            <w:pPr>
              <w:pStyle w:val="ListParagraph"/>
              <w:numPr>
                <w:ilvl w:val="0"/>
                <w:numId w:val="1"/>
              </w:numPr>
              <w:spacing w:after="60"/>
            </w:pPr>
            <w:r>
              <w:rPr>
                <w:sz w:val="18"/>
                <w:szCs w:val="18"/>
              </w:rPr>
              <w:t xml:space="preserve">Registra y extrae conclusiones con respecto al arribo de los españoles al nuevo mundo y la colonización de las Antillas.</w:t>
            </w:r>
          </w:p>
          <w:p>
            <w:pPr>
              <w:pStyle w:val="ListParagraph"/>
              <w:numPr>
                <w:ilvl w:val="0"/>
                <w:numId w:val="1"/>
              </w:numPr>
              <w:spacing w:after="60"/>
            </w:pPr>
            <w:r>
              <w:rPr>
                <w:sz w:val="18"/>
                <w:szCs w:val="18"/>
              </w:rPr>
              <w:t xml:space="preserve">Indaga aCerca de las tensiones y alianzas políticas entre los señoríos mesoamericanos, previo al arribo de los colonizadores españoles al territorio de lo que hoy es nuestro país.</w:t>
            </w:r>
          </w:p>
          <w:p>
            <w:pPr>
              <w:pStyle w:val="ListParagraph"/>
              <w:numPr>
                <w:ilvl w:val="0"/>
                <w:numId w:val="1"/>
              </w:numPr>
              <w:spacing w:after="60"/>
            </w:pPr>
            <w:r>
              <w:rPr>
                <w:sz w:val="18"/>
                <w:szCs w:val="18"/>
              </w:rPr>
              <w:t xml:space="preserve">Revisa y contextualiza las campañas militares que Hernán Cortés llevó a cabo para someter a la población indígena.</w:t>
            </w:r>
          </w:p>
          <w:p>
            <w:pPr>
              <w:pStyle w:val="ListParagraph"/>
              <w:numPr>
                <w:ilvl w:val="0"/>
                <w:numId w:val="1"/>
              </w:numPr>
              <w:spacing w:after="60"/>
            </w:pPr>
            <w:r>
              <w:rPr>
                <w:sz w:val="18"/>
                <w:szCs w:val="18"/>
              </w:rPr>
              <w:t xml:space="preserve">Problematiza sobre los factores políticos, económicos, culturales, tecnológicos, militares y religiosos que predominaban en los pueblos indígenas en el momento de su enfrentamiento con los españoles.</w:t>
            </w:r>
          </w:p>
          <w:p>
            <w:pPr>
              <w:pStyle w:val="ListParagraph"/>
              <w:numPr>
                <w:ilvl w:val="0"/>
                <w:numId w:val="1"/>
              </w:numPr>
              <w:spacing w:after="60"/>
            </w:pPr>
            <w:r>
              <w:rPr>
                <w:sz w:val="18"/>
                <w:szCs w:val="18"/>
              </w:rPr>
              <w:t xml:space="preserve">Elabora teorías de posibles desenlaces a partir de una articulación diferente de los factores que se conjugaron en este evento histórico.</w:t>
            </w:r>
          </w:p>
          <w:p>
            <w:pPr>
              <w:pStyle w:val="ListParagraph"/>
              <w:numPr>
                <w:ilvl w:val="0"/>
                <w:numId w:val="1"/>
              </w:numPr>
              <w:spacing w:after="60"/>
            </w:pPr>
            <w:r>
              <w:rPr>
                <w:sz w:val="18"/>
                <w:szCs w:val="18"/>
              </w:rPr>
              <w:t xml:space="preserve">Ubica a la Conquista como un momento de ruptura en la historia de nuestro país, que generó cambios en la sociedad y en la vida cotidiana de las personas.</w:t>
            </w:r>
          </w:p>
          <w:p>
            <w:pPr>
              <w:pStyle w:val="ListParagraph"/>
              <w:numPr>
                <w:ilvl w:val="0"/>
                <w:numId w:val="1"/>
              </w:numPr>
              <w:spacing w:after="60"/>
            </w:pPr>
            <w:r>
              <w:rPr>
                <w:sz w:val="18"/>
                <w:szCs w:val="18"/>
              </w:rPr>
              <w:t xml:space="preserve">Describe las formas de exacción a las que fueron sometidos la población y los territorios indígenas con el establecimiento del Virreinato de la Nueva España.</w:t>
            </w:r>
          </w:p>
          <w:p>
            <w:pPr>
              <w:pStyle w:val="ListParagraph"/>
              <w:numPr>
                <w:ilvl w:val="0"/>
                <w:numId w:val="1"/>
              </w:numPr>
              <w:spacing w:after="60"/>
            </w:pPr>
            <w:r>
              <w:rPr>
                <w:sz w:val="18"/>
                <w:szCs w:val="18"/>
              </w:rPr>
              <w:t xml:space="preserve">Identifica elementos de las culturas indígenas que persistieron en la época colonial dentro del proceso de cohesión política de nuestro país.</w:t>
            </w:r>
          </w:p>
          <w:p>
            <w:pPr>
              <w:pStyle w:val="ListParagraph"/>
              <w:numPr>
                <w:ilvl w:val="0"/>
                <w:numId w:val="1"/>
              </w:numPr>
              <w:spacing w:after="60"/>
            </w:pPr>
            <w:r>
              <w:rPr>
                <w:sz w:val="18"/>
                <w:szCs w:val="18"/>
              </w:rPr>
              <w:t xml:space="preserve">Problematiza el interés de la corona española en el desarrollo e intensificación de la minería en la Nueva España.</w:t>
            </w:r>
          </w:p>
          <w:p>
            <w:pPr>
              <w:pStyle w:val="ListParagraph"/>
              <w:numPr>
                <w:ilvl w:val="0"/>
                <w:numId w:val="1"/>
              </w:numPr>
              <w:spacing w:after="60"/>
            </w:pPr>
            <w:r>
              <w:rPr>
                <w:sz w:val="18"/>
                <w:szCs w:val="18"/>
              </w:rPr>
              <w:t xml:space="preserve">Distingue las características de la forma de gobierno, la economía, la cultura y la sociedad en la Nueva España.</w:t>
            </w:r>
          </w:p>
          <w:p>
            <w:pPr>
              <w:pStyle w:val="ListParagraph"/>
              <w:numPr>
                <w:ilvl w:val="0"/>
                <w:numId w:val="1"/>
              </w:numPr>
              <w:spacing w:after="60"/>
            </w:pPr>
            <w:r>
              <w:rPr>
                <w:sz w:val="18"/>
                <w:szCs w:val="18"/>
              </w:rPr>
              <w:t xml:space="preserve">Reflexiona y emite su opinión acerca del uso del trabajo esclavo de personas africanas y afrodescendientes en la Nueva España.</w:t>
            </w:r>
          </w:p>
          <w:p>
            <w:pPr>
              <w:pStyle w:val="ListParagraph"/>
              <w:numPr>
                <w:ilvl w:val="0"/>
                <w:numId w:val="1"/>
              </w:numPr>
              <w:spacing w:after="60"/>
            </w:pPr>
            <w:r>
              <w:rPr>
                <w:sz w:val="18"/>
                <w:szCs w:val="18"/>
              </w:rPr>
              <w:t xml:space="preserve">Reflexiona sobre las implicaciones sociales del sistema de castas que se estableció en la sociedad novohispana.</w:t>
            </w:r>
          </w:p>
        </w:tc>
        <w:tc>
          <w:tcPr>
            <w:tcW w:type="dxa" w:w="1440"/>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c>
          <w:tcPr>
            <w:tcW w:type="dxa" w:w="2592"/>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r>
      <w:tr>
        <w:tc>
          <w:tcPr>
            <w:tcW w:type="dxa" w:w="3888"/>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b/>
                <w:bCs/>
                <w:sz w:val="19"/>
                <w:szCs w:val="19"/>
              </w:rPr>
              <w:t xml:space="preserve">3. Las gestas de resistencia y los movimientos independentistas.</w:t>
            </w:r>
          </w:p>
        </w:tc>
        <w:tc>
          <w:tcPr>
            <w:tcW w:type="dxa" w:w="6480"/>
            <w:tcBorders>
              <w:top w:val="single" w:color="4F5878" w:sz="4"/>
              <w:left w:val="single" w:color="4F5878" w:sz="4"/>
              <w:bottom w:val="single" w:color="4F5878" w:sz="4"/>
              <w:right w:val="single" w:color="4F5878" w:sz="4"/>
            </w:tcBorders>
            <w:tcMar>
              <w:top w:type="dxa" w:w="80"/>
              <w:left w:type="dxa" w:w="100"/>
              <w:bottom w:type="dxa" w:w="80"/>
              <w:right w:type="dxa" w:w="100"/>
            </w:tcMar>
          </w:tcPr>
          <w:p>
            <w:pPr>
              <w:pStyle w:val="ListParagraph"/>
              <w:numPr>
                <w:ilvl w:val="0"/>
                <w:numId w:val="1"/>
              </w:numPr>
              <w:spacing w:after="60"/>
            </w:pPr>
            <w:r>
              <w:rPr>
                <w:sz w:val="18"/>
                <w:szCs w:val="18"/>
              </w:rPr>
              <w:t xml:space="preserve">Relaciona la Revolución de Independencia de 1810 en nuestro país con el agotamiento del imperio español para mantener la cohesión de sus colonias ultramarinas.</w:t>
            </w:r>
          </w:p>
          <w:p>
            <w:pPr>
              <w:pStyle w:val="ListParagraph"/>
              <w:numPr>
                <w:ilvl w:val="0"/>
                <w:numId w:val="1"/>
              </w:numPr>
              <w:spacing w:after="60"/>
            </w:pPr>
            <w:r>
              <w:rPr>
                <w:sz w:val="18"/>
                <w:szCs w:val="18"/>
              </w:rPr>
              <w:t xml:space="preserve">Comprende la confluencia de procesos (por ejemplo, las reformas borbónicas) y hechos (como la invasión napoleónica en España) en la configuración de la lucha por la Independencia de la Nueva España.</w:t>
            </w:r>
          </w:p>
          <w:p>
            <w:pPr>
              <w:pStyle w:val="ListParagraph"/>
              <w:numPr>
                <w:ilvl w:val="0"/>
                <w:numId w:val="1"/>
              </w:numPr>
              <w:spacing w:after="60"/>
            </w:pPr>
            <w:r>
              <w:rPr>
                <w:sz w:val="18"/>
                <w:szCs w:val="18"/>
              </w:rPr>
              <w:t xml:space="preserve">Aplica conceptos organizadores para dar cuenta de las etapas en que se desarrolló la lucha por la Independencia de la Nueva España.</w:t>
            </w:r>
          </w:p>
          <w:p>
            <w:pPr>
              <w:pStyle w:val="ListParagraph"/>
              <w:numPr>
                <w:ilvl w:val="0"/>
                <w:numId w:val="1"/>
              </w:numPr>
              <w:spacing w:after="60"/>
            </w:pPr>
            <w:r>
              <w:rPr>
                <w:sz w:val="18"/>
                <w:szCs w:val="18"/>
              </w:rPr>
              <w:t xml:space="preserve">Identifica los cambios de ritmo y de dirección en las diferentes etapas de la lucha por la Independencia de la Nueva España y teoriza al respecto.</w:t>
            </w:r>
          </w:p>
          <w:p>
            <w:pPr>
              <w:pStyle w:val="ListParagraph"/>
              <w:numPr>
                <w:ilvl w:val="0"/>
                <w:numId w:val="1"/>
              </w:numPr>
              <w:spacing w:after="60"/>
            </w:pPr>
            <w:r>
              <w:rPr>
                <w:sz w:val="18"/>
                <w:szCs w:val="18"/>
              </w:rPr>
              <w:t xml:space="preserve">Reconoce la impronta que la participación popular o la ausencia de ésta le dio a la lucha por la Independencia.</w:t>
            </w:r>
          </w:p>
          <w:p>
            <w:pPr>
              <w:pStyle w:val="ListParagraph"/>
              <w:numPr>
                <w:ilvl w:val="0"/>
                <w:numId w:val="1"/>
              </w:numPr>
              <w:spacing w:after="60"/>
            </w:pPr>
            <w:r>
              <w:rPr>
                <w:sz w:val="18"/>
                <w:szCs w:val="18"/>
              </w:rPr>
              <w:t xml:space="preserve">Caracteriza la consumación de la Independencia y el surgimiento del Primer Imperio.</w:t>
            </w:r>
          </w:p>
          <w:p>
            <w:pPr>
              <w:pStyle w:val="ListParagraph"/>
              <w:numPr>
                <w:ilvl w:val="0"/>
                <w:numId w:val="1"/>
              </w:numPr>
              <w:spacing w:after="60"/>
            </w:pPr>
            <w:r>
              <w:rPr>
                <w:sz w:val="18"/>
                <w:szCs w:val="18"/>
              </w:rPr>
              <w:t xml:space="preserve">Comprende el acontecimiento de la Revolución de Independencia como parte de un proceso de la formación de un Estado nacional.</w:t>
            </w:r>
          </w:p>
          <w:p>
            <w:pPr>
              <w:pStyle w:val="ListParagraph"/>
              <w:numPr>
                <w:ilvl w:val="0"/>
                <w:numId w:val="1"/>
              </w:numPr>
              <w:spacing w:after="60"/>
            </w:pPr>
            <w:r>
              <w:rPr>
                <w:sz w:val="18"/>
                <w:szCs w:val="18"/>
              </w:rPr>
              <w:t xml:space="preserve">Analiza las tensiones entre federalistas y centralistas con el advenimiento de la República durante la primera mitad del siglo XIX.</w:t>
            </w:r>
          </w:p>
          <w:p>
            <w:pPr>
              <w:pStyle w:val="ListParagraph"/>
              <w:numPr>
                <w:ilvl w:val="0"/>
                <w:numId w:val="1"/>
              </w:numPr>
              <w:spacing w:after="60"/>
            </w:pPr>
            <w:r>
              <w:rPr>
                <w:sz w:val="18"/>
                <w:szCs w:val="18"/>
              </w:rPr>
              <w:t xml:space="preserve">Explica la debilidad estructural de la joven República mexicana para enfrentar el asedio de los Estados Unidos y Francia: Independencia de Texas, Primera Invasión Francesa e Invasión Estadounidense de 1846-1848.</w:t>
            </w:r>
          </w:p>
        </w:tc>
        <w:tc>
          <w:tcPr>
            <w:tcW w:type="dxa" w:w="1440"/>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c>
          <w:tcPr>
            <w:tcW w:type="dxa" w:w="2592"/>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r>
      <w:tr>
        <w:tc>
          <w:tcPr>
            <w:tcW w:type="dxa" w:w="3888"/>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b/>
                <w:bCs/>
                <w:sz w:val="19"/>
                <w:szCs w:val="19"/>
              </w:rPr>
              <w:t xml:space="preserve">4. Las revoluciones modernas y sus tendencias</w:t>
            </w:r>
          </w:p>
        </w:tc>
        <w:tc>
          <w:tcPr>
            <w:tcW w:type="dxa" w:w="6480"/>
            <w:tcBorders>
              <w:top w:val="single" w:color="4F5878" w:sz="4"/>
              <w:left w:val="single" w:color="4F5878" w:sz="4"/>
              <w:bottom w:val="single" w:color="4F5878" w:sz="4"/>
              <w:right w:val="single" w:color="4F5878" w:sz="4"/>
            </w:tcBorders>
            <w:tcMar>
              <w:top w:type="dxa" w:w="80"/>
              <w:left w:type="dxa" w:w="100"/>
              <w:bottom w:type="dxa" w:w="80"/>
              <w:right w:type="dxa" w:w="100"/>
            </w:tcMar>
          </w:tcPr>
          <w:p>
            <w:pPr>
              <w:pStyle w:val="ListParagraph"/>
              <w:numPr>
                <w:ilvl w:val="0"/>
                <w:numId w:val="1"/>
              </w:numPr>
              <w:spacing w:after="60"/>
            </w:pPr>
            <w:r>
              <w:rPr>
                <w:sz w:val="18"/>
                <w:szCs w:val="18"/>
              </w:rPr>
              <w:t xml:space="preserve">Establece las características y el contexto en que se desarrolla la dictadura de Antonio López de Santa Anna y obtiene conclusiones.</w:t>
            </w:r>
          </w:p>
          <w:p>
            <w:pPr>
              <w:pStyle w:val="ListParagraph"/>
              <w:numPr>
                <w:ilvl w:val="0"/>
                <w:numId w:val="1"/>
              </w:numPr>
              <w:spacing w:after="60"/>
            </w:pPr>
            <w:r>
              <w:rPr>
                <w:sz w:val="18"/>
                <w:szCs w:val="18"/>
              </w:rPr>
              <w:t xml:space="preserve">Identifica causas y consecuencias de corta y larga duración de la Revolución de Ayutla de 1854.</w:t>
            </w:r>
          </w:p>
          <w:p>
            <w:pPr>
              <w:pStyle w:val="ListParagraph"/>
              <w:numPr>
                <w:ilvl w:val="0"/>
                <w:numId w:val="1"/>
              </w:numPr>
              <w:spacing w:after="60"/>
            </w:pPr>
            <w:r>
              <w:rPr>
                <w:sz w:val="18"/>
                <w:szCs w:val="18"/>
              </w:rPr>
              <w:t xml:space="preserve">Analiza las Leyes de Reforma expedidas entre 1859 y 1861; opina sobre ellas y estima su valor en la actualidad.</w:t>
            </w:r>
          </w:p>
          <w:p>
            <w:pPr>
              <w:pStyle w:val="ListParagraph"/>
              <w:numPr>
                <w:ilvl w:val="0"/>
                <w:numId w:val="1"/>
              </w:numPr>
              <w:spacing w:after="60"/>
            </w:pPr>
            <w:r>
              <w:rPr>
                <w:sz w:val="18"/>
                <w:szCs w:val="18"/>
              </w:rPr>
              <w:t xml:space="preserve">Problematiza la relación liberales-conservadores en este periodo de la historia de México.</w:t>
            </w:r>
          </w:p>
          <w:p>
            <w:pPr>
              <w:pStyle w:val="ListParagraph"/>
              <w:numPr>
                <w:ilvl w:val="0"/>
                <w:numId w:val="1"/>
              </w:numPr>
              <w:spacing w:after="60"/>
            </w:pPr>
            <w:r>
              <w:rPr>
                <w:sz w:val="18"/>
                <w:szCs w:val="18"/>
              </w:rPr>
              <w:t xml:space="preserve">Elabora una cronología con los acontecimientos más importantes que sucedieron durante la Guerra de Reforma; incorpora la información necesaria para su comprensión puntual.</w:t>
            </w:r>
          </w:p>
          <w:p>
            <w:pPr>
              <w:pStyle w:val="ListParagraph"/>
              <w:numPr>
                <w:ilvl w:val="0"/>
                <w:numId w:val="1"/>
              </w:numPr>
              <w:spacing w:after="60"/>
            </w:pPr>
            <w:r>
              <w:rPr>
                <w:sz w:val="18"/>
                <w:szCs w:val="18"/>
              </w:rPr>
              <w:t xml:space="preserve">Pone en juego su capacidad de convertirse en un liberal o en un conservador y se posiciona documentadamente.</w:t>
            </w:r>
          </w:p>
          <w:p>
            <w:pPr>
              <w:pStyle w:val="ListParagraph"/>
              <w:numPr>
                <w:ilvl w:val="0"/>
                <w:numId w:val="1"/>
              </w:numPr>
              <w:spacing w:after="60"/>
            </w:pPr>
            <w:r>
              <w:rPr>
                <w:sz w:val="18"/>
                <w:szCs w:val="18"/>
              </w:rPr>
              <w:t xml:space="preserve">Demuestra la intervención interesada de gobiernos extranjeros en la vida interna de México en esta etapa de la historia (tratados McLane-Ocampo y Mon-Almonte, Alianza Tripartita y Convención de Londres).</w:t>
            </w:r>
          </w:p>
          <w:p>
            <w:pPr>
              <w:pStyle w:val="ListParagraph"/>
              <w:numPr>
                <w:ilvl w:val="0"/>
                <w:numId w:val="1"/>
              </w:numPr>
              <w:spacing w:after="60"/>
            </w:pPr>
            <w:r>
              <w:rPr>
                <w:sz w:val="18"/>
                <w:szCs w:val="18"/>
              </w:rPr>
              <w:t xml:space="preserve">Comprende la relevancia histórica de la Segunda Invasión Francesa para nuestra vida actual.</w:t>
            </w:r>
          </w:p>
          <w:p>
            <w:pPr>
              <w:pStyle w:val="ListParagraph"/>
              <w:numPr>
                <w:ilvl w:val="0"/>
                <w:numId w:val="1"/>
              </w:numPr>
              <w:spacing w:after="60"/>
            </w:pPr>
            <w:r>
              <w:rPr>
                <w:sz w:val="18"/>
                <w:szCs w:val="18"/>
              </w:rPr>
              <w:t xml:space="preserve">Identifica desde su imaginario la relevancia histórica de la Batalla del 5 de mayo de 1862.</w:t>
            </w:r>
          </w:p>
          <w:p>
            <w:pPr>
              <w:pStyle w:val="ListParagraph"/>
              <w:numPr>
                <w:ilvl w:val="0"/>
                <w:numId w:val="1"/>
              </w:numPr>
              <w:spacing w:after="60"/>
            </w:pPr>
            <w:r>
              <w:rPr>
                <w:sz w:val="18"/>
                <w:szCs w:val="18"/>
              </w:rPr>
              <w:t xml:space="preserve">Elabora una cronología con los acontecimientos más importantes que sucedieron durante la restauración de la República y Porfiriato; incorpora la información necesaria para su comprensión puntual; e identifica cambios y permanencias en ambos procesos y los puntos de inflexión.</w:t>
            </w:r>
          </w:p>
          <w:p>
            <w:pPr>
              <w:pStyle w:val="ListParagraph"/>
              <w:numPr>
                <w:ilvl w:val="0"/>
                <w:numId w:val="1"/>
              </w:numPr>
              <w:spacing w:after="60"/>
            </w:pPr>
            <w:r>
              <w:rPr>
                <w:sz w:val="18"/>
                <w:szCs w:val="18"/>
              </w:rPr>
              <w:t xml:space="preserve">Genera interpretaciones del Porfiriato a partir de comparar el desarrollo económico y el desarrollo social generados durante este periodo histórico.</w:t>
            </w:r>
          </w:p>
          <w:p>
            <w:pPr>
              <w:pStyle w:val="ListParagraph"/>
              <w:numPr>
                <w:ilvl w:val="0"/>
                <w:numId w:val="1"/>
              </w:numPr>
              <w:spacing w:after="60"/>
            </w:pPr>
            <w:r>
              <w:rPr>
                <w:sz w:val="18"/>
                <w:szCs w:val="18"/>
              </w:rPr>
              <w:t xml:space="preserve">Elabora hipótesis que explican el trato que Porfirio Díaz dio a la oposición política, a la prensa, al movimiento campesino y obrero y a los pueblos indígenas.</w:t>
            </w:r>
          </w:p>
        </w:tc>
        <w:tc>
          <w:tcPr>
            <w:tcW w:type="dxa" w:w="1440"/>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c>
          <w:tcPr>
            <w:tcW w:type="dxa" w:w="2592"/>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r>
      <w:tr>
        <w:tc>
          <w:tcPr>
            <w:tcW w:type="dxa" w:w="3888"/>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b/>
                <w:bCs/>
                <w:sz w:val="19"/>
                <w:szCs w:val="19"/>
              </w:rPr>
              <w:t xml:space="preserve">5. Las tensiones en el siglo XX.</w:t>
            </w:r>
          </w:p>
        </w:tc>
        <w:tc>
          <w:tcPr>
            <w:tcW w:type="dxa" w:w="6480"/>
            <w:tcBorders>
              <w:top w:val="single" w:color="4F5878" w:sz="4"/>
              <w:left w:val="single" w:color="4F5878" w:sz="4"/>
              <w:bottom w:val="single" w:color="4F5878" w:sz="4"/>
              <w:right w:val="single" w:color="4F5878" w:sz="4"/>
            </w:tcBorders>
            <w:tcMar>
              <w:top w:type="dxa" w:w="80"/>
              <w:left w:type="dxa" w:w="100"/>
              <w:bottom w:type="dxa" w:w="80"/>
              <w:right w:type="dxa" w:w="100"/>
            </w:tcMar>
          </w:tcPr>
          <w:p>
            <w:pPr>
              <w:pStyle w:val="ListParagraph"/>
              <w:numPr>
                <w:ilvl w:val="0"/>
                <w:numId w:val="1"/>
              </w:numPr>
              <w:spacing w:after="60"/>
            </w:pPr>
            <w:r>
              <w:rPr>
                <w:sz w:val="18"/>
                <w:szCs w:val="18"/>
              </w:rPr>
              <w:t xml:space="preserve">Analiza y comprende la causalidad de la Revolución Mexicana de 1910; identifica la heterogeneidad en su composición y demandas.</w:t>
            </w:r>
          </w:p>
          <w:p>
            <w:pPr>
              <w:pStyle w:val="ListParagraph"/>
              <w:numPr>
                <w:ilvl w:val="0"/>
                <w:numId w:val="1"/>
              </w:numPr>
              <w:spacing w:after="60"/>
            </w:pPr>
            <w:r>
              <w:rPr>
                <w:sz w:val="18"/>
                <w:szCs w:val="18"/>
              </w:rPr>
              <w:t xml:space="preserve">Pondera las demandas sociales que la orientaron y la participación de los diferentes grupos sociales en su conducción en diferentes momentos.</w:t>
            </w:r>
          </w:p>
          <w:p>
            <w:pPr>
              <w:pStyle w:val="ListParagraph"/>
              <w:numPr>
                <w:ilvl w:val="0"/>
                <w:numId w:val="1"/>
              </w:numPr>
              <w:spacing w:after="60"/>
            </w:pPr>
            <w:r>
              <w:rPr>
                <w:sz w:val="18"/>
                <w:szCs w:val="18"/>
              </w:rPr>
              <w:t xml:space="preserve">Diseña periodos espaciotemporales y los organiza cronológicamente para dar cuenta del proceso revolucionario.</w:t>
            </w:r>
          </w:p>
          <w:p>
            <w:pPr>
              <w:pStyle w:val="ListParagraph"/>
              <w:numPr>
                <w:ilvl w:val="0"/>
                <w:numId w:val="1"/>
              </w:numPr>
              <w:spacing w:after="60"/>
            </w:pPr>
            <w:r>
              <w:rPr>
                <w:sz w:val="18"/>
                <w:szCs w:val="18"/>
              </w:rPr>
              <w:t xml:space="preserve">Construye narrativas de los personajes históricos y los reconoce como expresión identitaria de grupos sociales en particular.</w:t>
            </w:r>
          </w:p>
          <w:p>
            <w:pPr>
              <w:pStyle w:val="ListParagraph"/>
              <w:numPr>
                <w:ilvl w:val="0"/>
                <w:numId w:val="1"/>
              </w:numPr>
              <w:spacing w:after="60"/>
            </w:pPr>
            <w:r>
              <w:rPr>
                <w:sz w:val="18"/>
                <w:szCs w:val="18"/>
              </w:rPr>
              <w:t xml:space="preserve">Analiza y caracteriza el suceso conocido como la Decena Trágica.</w:t>
            </w:r>
          </w:p>
          <w:p>
            <w:pPr>
              <w:pStyle w:val="ListParagraph"/>
              <w:numPr>
                <w:ilvl w:val="0"/>
                <w:numId w:val="1"/>
              </w:numPr>
              <w:spacing w:after="60"/>
            </w:pPr>
            <w:r>
              <w:rPr>
                <w:sz w:val="18"/>
                <w:szCs w:val="18"/>
              </w:rPr>
              <w:t xml:space="preserve">Argumenta desde el presente la relevancia que tiene para su vida la Revolución Mexicana y sus aportes.</w:t>
            </w:r>
          </w:p>
          <w:p>
            <w:pPr>
              <w:pStyle w:val="ListParagraph"/>
              <w:numPr>
                <w:ilvl w:val="0"/>
                <w:numId w:val="1"/>
              </w:numPr>
              <w:spacing w:after="60"/>
            </w:pPr>
            <w:r>
              <w:rPr>
                <w:sz w:val="18"/>
                <w:szCs w:val="18"/>
              </w:rPr>
              <w:t xml:space="preserve">Recaba información de los eventos relevantes de los gobiernos postrevolucionarios y caracteriza el periodo conocido como Maximato.</w:t>
            </w:r>
          </w:p>
          <w:p>
            <w:pPr>
              <w:pStyle w:val="ListParagraph"/>
              <w:numPr>
                <w:ilvl w:val="0"/>
                <w:numId w:val="1"/>
              </w:numPr>
              <w:spacing w:after="60"/>
            </w:pPr>
            <w:r>
              <w:rPr>
                <w:sz w:val="18"/>
                <w:szCs w:val="18"/>
              </w:rPr>
              <w:t xml:space="preserve">Analiza las causas, el origen, el lugar y el tiempo de la rebelión cristera.</w:t>
            </w:r>
          </w:p>
          <w:p>
            <w:pPr>
              <w:pStyle w:val="ListParagraph"/>
              <w:numPr>
                <w:ilvl w:val="0"/>
                <w:numId w:val="1"/>
              </w:numPr>
              <w:spacing w:after="60"/>
            </w:pPr>
            <w:r>
              <w:rPr>
                <w:sz w:val="18"/>
                <w:szCs w:val="18"/>
              </w:rPr>
              <w:t xml:space="preserve">Reúne información acerca de las principales políticas de gobierno de Lázaro Cárdenas (reforma agraria, intervención del Estado en la economía, nacionalización de industrias, educación socialista, apoyos a campesinos y reorganización del movimiento obrero) y la utiliza para estructurar una narrativa.</w:t>
            </w:r>
          </w:p>
          <w:p>
            <w:pPr>
              <w:pStyle w:val="ListParagraph"/>
              <w:numPr>
                <w:ilvl w:val="0"/>
                <w:numId w:val="1"/>
              </w:numPr>
              <w:spacing w:after="60"/>
            </w:pPr>
            <w:r>
              <w:rPr>
                <w:sz w:val="18"/>
                <w:szCs w:val="18"/>
              </w:rPr>
              <w:t xml:space="preserve">Vincula desde el tiempo cronológico las acciones concretas del gobierno cardenista (por ejemplo, la Expropiación Petrolera) y las relaciona con eventos pasados o simultáneos acerca del mismo tópico (por ejemplo, la expedición de la Ley del Petróleo del 24 de diciembre de 1901, que reconoce que los dueños de los predios pueden explotar hidrocarburos sin necesidad de concesión alguna) para dimensionar la cualidad del tiempo histórico.</w:t>
            </w:r>
          </w:p>
          <w:p>
            <w:pPr>
              <w:pStyle w:val="ListParagraph"/>
              <w:numPr>
                <w:ilvl w:val="0"/>
                <w:numId w:val="1"/>
              </w:numPr>
              <w:spacing w:after="60"/>
            </w:pPr>
            <w:r>
              <w:rPr>
                <w:sz w:val="18"/>
                <w:szCs w:val="18"/>
              </w:rPr>
              <w:t xml:space="preserve">Ubica en el gobierno de Manuel Ávila Camacho el origen y las circunstancias de la política de unidad nacional, las contextualiza internacionalmente y reconoce en esta política un elemento para la institucionalización y legitimación del Estado mexicano durante el siglo XX.</w:t>
            </w:r>
          </w:p>
          <w:p>
            <w:pPr>
              <w:pStyle w:val="ListParagraph"/>
              <w:numPr>
                <w:ilvl w:val="0"/>
                <w:numId w:val="1"/>
              </w:numPr>
              <w:spacing w:after="60"/>
            </w:pPr>
            <w:r>
              <w:rPr>
                <w:sz w:val="18"/>
                <w:szCs w:val="18"/>
              </w:rPr>
              <w:t xml:space="preserve">Reúne información acerca de las prioridades que impulsó el gobierno de Miguel Alemán Valdés y la contrasta con las representaciones sociales contenidas en la obra fílmica de Alejandro Galindo.</w:t>
            </w:r>
          </w:p>
          <w:p>
            <w:pPr>
              <w:pStyle w:val="ListParagraph"/>
              <w:numPr>
                <w:ilvl w:val="0"/>
                <w:numId w:val="1"/>
              </w:numPr>
              <w:spacing w:after="60"/>
            </w:pPr>
            <w:r>
              <w:rPr>
                <w:sz w:val="18"/>
                <w:szCs w:val="18"/>
              </w:rPr>
              <w:t xml:space="preserve">Explica las características, las prioridades y los sucesos importantes de los gobiernos de la época del desarrollo estabilizador.</w:t>
            </w:r>
          </w:p>
          <w:p>
            <w:pPr>
              <w:pStyle w:val="ListParagraph"/>
              <w:numPr>
                <w:ilvl w:val="0"/>
                <w:numId w:val="1"/>
              </w:numPr>
              <w:spacing w:after="60"/>
            </w:pPr>
            <w:r>
              <w:rPr>
                <w:sz w:val="18"/>
                <w:szCs w:val="18"/>
              </w:rPr>
              <w:t xml:space="preserve">Dimensiona el tiempo histórico (vincula hechos pasados o simultáneos con los que tiene relación) del derecho de las mujeres a votar y ser votadas en las elecciones de 1955.</w:t>
            </w:r>
          </w:p>
          <w:p>
            <w:pPr>
              <w:pStyle w:val="ListParagraph"/>
              <w:numPr>
                <w:ilvl w:val="0"/>
                <w:numId w:val="1"/>
              </w:numPr>
              <w:spacing w:after="60"/>
            </w:pPr>
            <w:r>
              <w:rPr>
                <w:sz w:val="18"/>
                <w:szCs w:val="18"/>
              </w:rPr>
              <w:t xml:space="preserve">Reconoce los costos sociales del Milagro Mexicano y el carácter autoritario y represor con el que actuó el Estado mexicano ante las demandas del movimiento magisterial (1958), la huelga ferrocarrilera (1959) y el movimiento médico (1964-1965).</w:t>
            </w:r>
          </w:p>
          <w:p>
            <w:pPr>
              <w:pStyle w:val="ListParagraph"/>
              <w:numPr>
                <w:ilvl w:val="0"/>
                <w:numId w:val="1"/>
              </w:numPr>
              <w:spacing w:after="60"/>
            </w:pPr>
            <w:r>
              <w:rPr>
                <w:sz w:val="18"/>
                <w:szCs w:val="18"/>
              </w:rPr>
              <w:t xml:space="preserve">Indaga acerca de la influencia de la Revolución Cubana en México y evidencia su impacto.</w:t>
            </w:r>
          </w:p>
          <w:p>
            <w:pPr>
              <w:pStyle w:val="ListParagraph"/>
              <w:numPr>
                <w:ilvl w:val="0"/>
                <w:numId w:val="1"/>
              </w:numPr>
              <w:spacing w:after="60"/>
            </w:pPr>
            <w:r>
              <w:rPr>
                <w:sz w:val="18"/>
                <w:szCs w:val="18"/>
              </w:rPr>
              <w:t xml:space="preserve">Recupera información de crónicas y narrativas de participantes del movimiento estudiantil de 1968, la analiza y construye hipótesis propias sobre sus causas y consecuencias.</w:t>
            </w:r>
          </w:p>
          <w:p>
            <w:pPr>
              <w:pStyle w:val="ListParagraph"/>
              <w:numPr>
                <w:ilvl w:val="0"/>
                <w:numId w:val="1"/>
              </w:numPr>
              <w:spacing w:after="60"/>
            </w:pPr>
            <w:r>
              <w:rPr>
                <w:sz w:val="18"/>
                <w:szCs w:val="18"/>
              </w:rPr>
              <w:t xml:space="preserve">Reflexiona a partir de su condición de estudiante, acerca de la perspectiva histórica de las y los jóvenes que participaron en este movimiento.</w:t>
            </w:r>
          </w:p>
          <w:p>
            <w:pPr>
              <w:pStyle w:val="ListParagraph"/>
              <w:numPr>
                <w:ilvl w:val="0"/>
                <w:numId w:val="1"/>
              </w:numPr>
              <w:spacing w:after="60"/>
            </w:pPr>
            <w:r>
              <w:rPr>
                <w:sz w:val="18"/>
                <w:szCs w:val="18"/>
              </w:rPr>
              <w:t xml:space="preserve">Emite juicios acerca del trato y la respuesta que el gobierno de Gustavo Díaz Ordaz dio al movimiento estudiantil de 1968.</w:t>
            </w:r>
          </w:p>
          <w:p>
            <w:pPr>
              <w:pStyle w:val="ListParagraph"/>
              <w:numPr>
                <w:ilvl w:val="0"/>
                <w:numId w:val="1"/>
              </w:numPr>
              <w:spacing w:after="60"/>
            </w:pPr>
            <w:r>
              <w:rPr>
                <w:sz w:val="18"/>
                <w:szCs w:val="18"/>
              </w:rPr>
              <w:t xml:space="preserve">Analiza y caracteriza las políticas de los gobiernos del periodo de las crisis económicas de 1970 a 1982; ubica cambios y permanencias con relación a los gobiernos anteriores.</w:t>
            </w:r>
          </w:p>
          <w:p>
            <w:pPr>
              <w:pStyle w:val="ListParagraph"/>
              <w:numPr>
                <w:ilvl w:val="0"/>
                <w:numId w:val="1"/>
              </w:numPr>
              <w:spacing w:after="60"/>
            </w:pPr>
            <w:r>
              <w:rPr>
                <w:sz w:val="18"/>
                <w:szCs w:val="18"/>
              </w:rPr>
              <w:t xml:space="preserve">Identifica cambios que incorporaron los gobiernos neoliberales entre 1982 y 2000 en la política, la economía y la sociedad, con respecto a las políticas de los gobiernos del Nacionalismo Revolucionario.</w:t>
            </w:r>
          </w:p>
          <w:p>
            <w:pPr>
              <w:pStyle w:val="ListParagraph"/>
              <w:numPr>
                <w:ilvl w:val="0"/>
                <w:numId w:val="1"/>
              </w:numPr>
              <w:spacing w:after="60"/>
            </w:pPr>
            <w:r>
              <w:rPr>
                <w:sz w:val="18"/>
                <w:szCs w:val="18"/>
              </w:rPr>
              <w:t xml:space="preserve">Explica las causas y el contexto en que se instauró el neoliberalismo en México.</w:t>
            </w:r>
          </w:p>
          <w:p>
            <w:pPr>
              <w:pStyle w:val="ListParagraph"/>
              <w:numPr>
                <w:ilvl w:val="0"/>
                <w:numId w:val="1"/>
              </w:numPr>
              <w:spacing w:after="60"/>
            </w:pPr>
            <w:r>
              <w:rPr>
                <w:sz w:val="18"/>
                <w:szCs w:val="18"/>
              </w:rPr>
              <w:t xml:space="preserve">Describe cómo el neoliberalismo implica progreso para algunos segmentos sociales y retroceso para otros; asume una posición desde sus condiciones de vida.</w:t>
            </w:r>
          </w:p>
          <w:p>
            <w:pPr>
              <w:pStyle w:val="ListParagraph"/>
              <w:numPr>
                <w:ilvl w:val="0"/>
                <w:numId w:val="1"/>
              </w:numPr>
              <w:spacing w:after="60"/>
            </w:pPr>
            <w:r>
              <w:rPr>
                <w:sz w:val="18"/>
                <w:szCs w:val="18"/>
              </w:rPr>
              <w:t xml:space="preserve">Reconoce cómo se gestan formas de organización alternativa en un escenario dominado por políticas neoliberales: la respuesta solidaria de la gente después del sismo de 1985 y la articulación del movimiento urbano popular; la movilización popular después del proceso electoral de 1988 y el movimiento magisterial de 1989.</w:t>
            </w:r>
          </w:p>
          <w:p>
            <w:pPr>
              <w:pStyle w:val="ListParagraph"/>
              <w:numPr>
                <w:ilvl w:val="0"/>
                <w:numId w:val="1"/>
              </w:numPr>
              <w:spacing w:after="60"/>
            </w:pPr>
            <w:r>
              <w:rPr>
                <w:sz w:val="18"/>
                <w:szCs w:val="18"/>
              </w:rPr>
              <w:t xml:space="preserve">Revisa la evolución de la política del Estado mexicano hacia los pueblos indígenas desde el exterminio y el despojo (siglo XIX) hasta la integración y la cultura dominante del mestizaje (siglo XX).</w:t>
            </w:r>
          </w:p>
          <w:p>
            <w:pPr>
              <w:pStyle w:val="ListParagraph"/>
              <w:numPr>
                <w:ilvl w:val="0"/>
                <w:numId w:val="1"/>
              </w:numPr>
              <w:spacing w:after="60"/>
            </w:pPr>
            <w:r>
              <w:rPr>
                <w:sz w:val="18"/>
                <w:szCs w:val="18"/>
              </w:rPr>
              <w:t xml:space="preserve">Resignifica, visibiliza y reconoce la presencia de los pueblos indígenas y asume prácticas de convivencia inclusivas e igualitarias.</w:t>
            </w:r>
          </w:p>
          <w:p>
            <w:pPr>
              <w:pStyle w:val="ListParagraph"/>
              <w:numPr>
                <w:ilvl w:val="0"/>
                <w:numId w:val="1"/>
              </w:numPr>
              <w:spacing w:after="60"/>
            </w:pPr>
            <w:r>
              <w:rPr>
                <w:sz w:val="18"/>
                <w:szCs w:val="18"/>
              </w:rPr>
              <w:t xml:space="preserve">Comprende la noción de territorio y naturaleza que poseen los pueblos indígenas, así como sus demandas por la autonomía, el autogobierno y la democracia.</w:t>
            </w:r>
          </w:p>
          <w:p>
            <w:pPr>
              <w:pStyle w:val="ListParagraph"/>
              <w:numPr>
                <w:ilvl w:val="0"/>
                <w:numId w:val="1"/>
              </w:numPr>
              <w:spacing w:after="60"/>
            </w:pPr>
            <w:r>
              <w:rPr>
                <w:sz w:val="18"/>
                <w:szCs w:val="18"/>
              </w:rPr>
              <w:t xml:space="preserve">Analiza y comprende las causas del levantamiento zapatista de 1994 en Chiapas y sus repercusiones en los ámbitos nacional e internacional.</w:t>
            </w:r>
          </w:p>
        </w:tc>
        <w:tc>
          <w:tcPr>
            <w:tcW w:type="dxa" w:w="1440"/>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c>
          <w:tcPr>
            <w:tcW w:type="dxa" w:w="2592"/>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r>
    </w:tbl>
    <w:p>
      <w:pPr>
        <w:spacing w:after="60"/>
      </w:pPr>
      <w:r>
        <w:rPr>
          <w:color w:val="4F5878"/>
          <w:sz w:val="16"/>
          <w:szCs w:val="16"/>
        </w:rPr>
        <w:t xml:space="preserve">En 2.º grado el programa no tiene PDA para: 1. Los albores de la humanidad: los pueblos antiguos del mundo y su devenir. 6. La construcción histórica de las ideas sobre las juventudes e infancias. 7. Las mujeres y sus historias. 8. Las luchas de las mujeres por sus derechos. 9. Relaciones de poder y lucha por los derechos de grupos históricamente discriminados o subrepresentados. 10. Discriminación, racismo, sexismo y prejuicios como construcciones históricas. 11. Movilidades humanas, migraciones y nuevos escenarios para la vida. 12. Amor, amistad, familias y relaciones entre las personas en la historia.</w:t>
      </w:r>
    </w:p>
    <w:p>
      <w:pPr>
        <w:pStyle w:val="Heading1"/>
        <w:spacing w:after="120" w:before="240"/>
      </w:pPr>
      <w:r>
        <w:t xml:space="preserve">3.er grado · 5 contenidos</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88"/>
        <w:gridCol w:w="6480"/>
        <w:gridCol w:w="1440"/>
        <w:gridCol w:w="2592"/>
      </w:tblGrid>
      <w:tr>
        <w:trPr>
          <w:tblHeader/>
        </w:trPr>
        <w:tc>
          <w:tcPr>
            <w:tcW w:type="dxa" w:w="3888"/>
            <w:tcBorders>
              <w:top w:val="single" w:color="4F5878" w:sz="4"/>
              <w:left w:val="single" w:color="4F5878" w:sz="4"/>
              <w:bottom w:val="single" w:color="4F5878" w:sz="4"/>
              <w:right w:val="single" w:color="4F5878" w:sz="4"/>
            </w:tcBorders>
            <w:shd w:fill="E8EBF5" w:val="clear"/>
            <w:tcMar>
              <w:top w:type="dxa" w:w="80"/>
              <w:left w:type="dxa" w:w="100"/>
              <w:bottom w:type="dxa" w:w="80"/>
              <w:right w:type="dxa" w:w="100"/>
            </w:tcMar>
          </w:tcPr>
          <w:p>
            <w:pPr>
              <w:spacing w:after="60"/>
            </w:pPr>
            <w:r>
              <w:rPr>
                <w:b/>
                <w:bCs/>
                <w:sz w:val="18"/>
                <w:szCs w:val="18"/>
              </w:rPr>
              <w:t xml:space="preserve">Contenido</w:t>
            </w:r>
          </w:p>
        </w:tc>
        <w:tc>
          <w:tcPr>
            <w:tcW w:type="dxa" w:w="6480"/>
            <w:tcBorders>
              <w:top w:val="single" w:color="4F5878" w:sz="4"/>
              <w:left w:val="single" w:color="4F5878" w:sz="4"/>
              <w:bottom w:val="single" w:color="4F5878" w:sz="4"/>
              <w:right w:val="single" w:color="4F5878" w:sz="4"/>
            </w:tcBorders>
            <w:shd w:fill="E8EBF5" w:val="clear"/>
            <w:tcMar>
              <w:top w:type="dxa" w:w="80"/>
              <w:left w:type="dxa" w:w="100"/>
              <w:bottom w:type="dxa" w:w="80"/>
              <w:right w:type="dxa" w:w="100"/>
            </w:tcMar>
          </w:tcPr>
          <w:p>
            <w:pPr>
              <w:spacing w:after="60"/>
            </w:pPr>
            <w:r>
              <w:rPr>
                <w:b/>
                <w:bCs/>
                <w:sz w:val="18"/>
                <w:szCs w:val="18"/>
              </w:rPr>
              <w:t xml:space="preserve">Procesos de desarrollo de aprendizaje (PDA)</w:t>
            </w:r>
          </w:p>
        </w:tc>
        <w:tc>
          <w:tcPr>
            <w:tcW w:type="dxa" w:w="1440"/>
            <w:tcBorders>
              <w:top w:val="single" w:color="4F5878" w:sz="4"/>
              <w:left w:val="single" w:color="4F5878" w:sz="4"/>
              <w:bottom w:val="single" w:color="4F5878" w:sz="4"/>
              <w:right w:val="single" w:color="4F5878" w:sz="4"/>
            </w:tcBorders>
            <w:shd w:fill="E8EBF5" w:val="clear"/>
            <w:tcMar>
              <w:top w:type="dxa" w:w="80"/>
              <w:left w:type="dxa" w:w="100"/>
              <w:bottom w:type="dxa" w:w="80"/>
              <w:right w:type="dxa" w:w="100"/>
            </w:tcMar>
          </w:tcPr>
          <w:p>
            <w:pPr>
              <w:spacing w:after="60"/>
            </w:pPr>
            <w:r>
              <w:rPr>
                <w:b/>
                <w:bCs/>
                <w:sz w:val="18"/>
                <w:szCs w:val="18"/>
              </w:rPr>
              <w:t xml:space="preserve">Fecha o periodo</w:t>
            </w:r>
          </w:p>
        </w:tc>
        <w:tc>
          <w:tcPr>
            <w:tcW w:type="dxa" w:w="2592"/>
            <w:tcBorders>
              <w:top w:val="single" w:color="4F5878" w:sz="4"/>
              <w:left w:val="single" w:color="4F5878" w:sz="4"/>
              <w:bottom w:val="single" w:color="4F5878" w:sz="4"/>
              <w:right w:val="single" w:color="4F5878" w:sz="4"/>
            </w:tcBorders>
            <w:shd w:fill="E8EBF5" w:val="clear"/>
            <w:tcMar>
              <w:top w:type="dxa" w:w="80"/>
              <w:left w:type="dxa" w:w="100"/>
              <w:bottom w:type="dxa" w:w="80"/>
              <w:right w:type="dxa" w:w="100"/>
            </w:tcMar>
          </w:tcPr>
          <w:p>
            <w:pPr>
              <w:spacing w:after="60"/>
            </w:pPr>
            <w:r>
              <w:rPr>
                <w:b/>
                <w:bCs/>
                <w:sz w:val="18"/>
                <w:szCs w:val="18"/>
              </w:rPr>
              <w:t xml:space="preserve">Notas</w:t>
            </w:r>
          </w:p>
        </w:tc>
      </w:tr>
      <w:tr>
        <w:tc>
          <w:tcPr>
            <w:tcW w:type="dxa" w:w="3888"/>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b/>
                <w:bCs/>
                <w:sz w:val="19"/>
                <w:szCs w:val="19"/>
              </w:rPr>
              <w:t xml:space="preserve">1. Los albores de la humanidad: los pueblos antiguos del mundo y su devenir.</w:t>
            </w:r>
          </w:p>
        </w:tc>
        <w:tc>
          <w:tcPr>
            <w:tcW w:type="dxa" w:w="6480"/>
            <w:tcBorders>
              <w:top w:val="single" w:color="4F5878" w:sz="4"/>
              <w:left w:val="single" w:color="4F5878" w:sz="4"/>
              <w:bottom w:val="single" w:color="4F5878" w:sz="4"/>
              <w:right w:val="single" w:color="4F5878" w:sz="4"/>
            </w:tcBorders>
            <w:tcMar>
              <w:top w:type="dxa" w:w="80"/>
              <w:left w:type="dxa" w:w="100"/>
              <w:bottom w:type="dxa" w:w="80"/>
              <w:right w:type="dxa" w:w="100"/>
            </w:tcMar>
          </w:tcPr>
          <w:p>
            <w:pPr>
              <w:pStyle w:val="ListParagraph"/>
              <w:numPr>
                <w:ilvl w:val="0"/>
                <w:numId w:val="1"/>
              </w:numPr>
              <w:spacing w:after="60"/>
            </w:pPr>
            <w:r>
              <w:rPr>
                <w:sz w:val="18"/>
                <w:szCs w:val="18"/>
              </w:rPr>
              <w:t xml:space="preserve">Recupera las explicaciones de Charles Darwin acerca del origen y evolución de la biodiversidad y particulariza en el caso del ser humano.</w:t>
            </w:r>
          </w:p>
          <w:p>
            <w:pPr>
              <w:pStyle w:val="ListParagraph"/>
              <w:numPr>
                <w:ilvl w:val="0"/>
                <w:numId w:val="1"/>
              </w:numPr>
              <w:spacing w:after="60"/>
            </w:pPr>
            <w:r>
              <w:rPr>
                <w:sz w:val="18"/>
                <w:szCs w:val="18"/>
              </w:rPr>
              <w:t xml:space="preserve">Investiga acerca de restos fósiles de homínidos encontrados en todo el mundo y organiza la información.</w:t>
            </w:r>
          </w:p>
          <w:p>
            <w:pPr>
              <w:pStyle w:val="ListParagraph"/>
              <w:numPr>
                <w:ilvl w:val="0"/>
                <w:numId w:val="1"/>
              </w:numPr>
              <w:spacing w:after="60"/>
            </w:pPr>
            <w:r>
              <w:rPr>
                <w:sz w:val="18"/>
                <w:szCs w:val="18"/>
              </w:rPr>
              <w:t xml:space="preserve">Explica cómo se construye la representación de la prehistoria a través de la manufactura de artefactos o estructuras.</w:t>
            </w:r>
          </w:p>
          <w:p>
            <w:pPr>
              <w:pStyle w:val="ListParagraph"/>
              <w:numPr>
                <w:ilvl w:val="0"/>
                <w:numId w:val="1"/>
              </w:numPr>
              <w:spacing w:after="60"/>
            </w:pPr>
            <w:r>
              <w:rPr>
                <w:sz w:val="18"/>
                <w:szCs w:val="18"/>
              </w:rPr>
              <w:t xml:space="preserve">Aplica el eje organizador uso y gestión del agua y su impacto para analizar el desarrollo histórico de las antiguas civilizaciones mesopotámica, egipcia, hindú y china.</w:t>
            </w:r>
          </w:p>
          <w:p>
            <w:pPr>
              <w:pStyle w:val="ListParagraph"/>
              <w:numPr>
                <w:ilvl w:val="0"/>
                <w:numId w:val="1"/>
              </w:numPr>
              <w:spacing w:after="60"/>
            </w:pPr>
            <w:r>
              <w:rPr>
                <w:sz w:val="18"/>
                <w:szCs w:val="18"/>
              </w:rPr>
              <w:t xml:space="preserve">Indaga a partir de la noción de espacio ecúmene aplicada a los antiguos pueblos fenicio, egipcio, cretense, cartaginés, griego y romano en la cuenca del mar mediterráneo, como una forma temprana de integración de la economía, la sociedad, la cultura y la política.</w:t>
            </w:r>
          </w:p>
          <w:p>
            <w:pPr>
              <w:pStyle w:val="ListParagraph"/>
              <w:numPr>
                <w:ilvl w:val="0"/>
                <w:numId w:val="1"/>
              </w:numPr>
              <w:spacing w:after="60"/>
            </w:pPr>
            <w:r>
              <w:rPr>
                <w:sz w:val="18"/>
                <w:szCs w:val="18"/>
              </w:rPr>
              <w:t xml:space="preserve">Analiza el proceso de integración de los antiguos pueblos de la Cuenca del Mar Mediterráneo para explicarse las tensiones y conflictos entre persas y griegos.</w:t>
            </w:r>
          </w:p>
          <w:p>
            <w:pPr>
              <w:pStyle w:val="ListParagraph"/>
              <w:numPr>
                <w:ilvl w:val="0"/>
                <w:numId w:val="1"/>
              </w:numPr>
              <w:spacing w:after="60"/>
            </w:pPr>
            <w:r>
              <w:rPr>
                <w:sz w:val="18"/>
                <w:szCs w:val="18"/>
              </w:rPr>
              <w:t xml:space="preserve">Genera hipótesis e interpretaciones propias sobre el esplendor de la Cultura Romana mediante el análisis de los conceptos: trabajo esclavo, ocupación militar de territorios y organización política.</w:t>
            </w:r>
          </w:p>
          <w:p>
            <w:pPr>
              <w:pStyle w:val="ListParagraph"/>
              <w:numPr>
                <w:ilvl w:val="0"/>
                <w:numId w:val="1"/>
              </w:numPr>
              <w:spacing w:after="60"/>
            </w:pPr>
            <w:r>
              <w:rPr>
                <w:sz w:val="18"/>
                <w:szCs w:val="18"/>
              </w:rPr>
              <w:t xml:space="preserve">Problematiza la relación germánicos-romanos y la desintegración del Imperio Romano de Occidente.</w:t>
            </w:r>
          </w:p>
          <w:p>
            <w:pPr>
              <w:pStyle w:val="ListParagraph"/>
              <w:numPr>
                <w:ilvl w:val="0"/>
                <w:numId w:val="1"/>
              </w:numPr>
              <w:spacing w:after="60"/>
            </w:pPr>
            <w:r>
              <w:rPr>
                <w:sz w:val="18"/>
                <w:szCs w:val="18"/>
              </w:rPr>
              <w:t xml:space="preserve">Establece relaciones de cambio, continuidad y/o ruptura en el surgimiento de los estados feudales y su generalización en Europa.</w:t>
            </w:r>
          </w:p>
          <w:p>
            <w:pPr>
              <w:pStyle w:val="ListParagraph"/>
              <w:numPr>
                <w:ilvl w:val="0"/>
                <w:numId w:val="1"/>
              </w:numPr>
              <w:spacing w:after="60"/>
            </w:pPr>
            <w:r>
              <w:rPr>
                <w:sz w:val="18"/>
                <w:szCs w:val="18"/>
              </w:rPr>
              <w:t xml:space="preserve">Estructura a partir del espacio y el tiempo en que se desarrolló, formas para organizar y dar cuenta del desarrollo histórico de las sociedades feudales.</w:t>
            </w:r>
          </w:p>
          <w:p>
            <w:pPr>
              <w:pStyle w:val="ListParagraph"/>
              <w:numPr>
                <w:ilvl w:val="0"/>
                <w:numId w:val="1"/>
              </w:numPr>
              <w:spacing w:after="60"/>
            </w:pPr>
            <w:r>
              <w:rPr>
                <w:sz w:val="18"/>
                <w:szCs w:val="18"/>
              </w:rPr>
              <w:t xml:space="preserve">Problematiza acerca de las causas, los fundamentos y el impacto del Imperio Musulmán en el mundo.</w:t>
            </w:r>
          </w:p>
        </w:tc>
        <w:tc>
          <w:tcPr>
            <w:tcW w:type="dxa" w:w="1440"/>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c>
          <w:tcPr>
            <w:tcW w:type="dxa" w:w="2592"/>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r>
      <w:tr>
        <w:tc>
          <w:tcPr>
            <w:tcW w:type="dxa" w:w="3888"/>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b/>
                <w:bCs/>
                <w:sz w:val="19"/>
                <w:szCs w:val="19"/>
              </w:rPr>
              <w:t xml:space="preserve">2. La conformación de las metrópolis y los sistemas de dominación.</w:t>
            </w:r>
          </w:p>
        </w:tc>
        <w:tc>
          <w:tcPr>
            <w:tcW w:type="dxa" w:w="6480"/>
            <w:tcBorders>
              <w:top w:val="single" w:color="4F5878" w:sz="4"/>
              <w:left w:val="single" w:color="4F5878" w:sz="4"/>
              <w:bottom w:val="single" w:color="4F5878" w:sz="4"/>
              <w:right w:val="single" w:color="4F5878" w:sz="4"/>
            </w:tcBorders>
            <w:tcMar>
              <w:top w:type="dxa" w:w="80"/>
              <w:left w:type="dxa" w:w="100"/>
              <w:bottom w:type="dxa" w:w="80"/>
              <w:right w:type="dxa" w:w="100"/>
            </w:tcMar>
          </w:tcPr>
          <w:p>
            <w:pPr>
              <w:pStyle w:val="ListParagraph"/>
              <w:numPr>
                <w:ilvl w:val="0"/>
                <w:numId w:val="1"/>
              </w:numPr>
              <w:spacing w:after="60"/>
            </w:pPr>
            <w:r>
              <w:rPr>
                <w:sz w:val="18"/>
                <w:szCs w:val="18"/>
              </w:rPr>
              <w:t xml:space="preserve">Indaga sobre el desarrollo de las ciudades en Italia y Flandes durante los siglos XII y XIII.</w:t>
            </w:r>
          </w:p>
          <w:p>
            <w:pPr>
              <w:pStyle w:val="ListParagraph"/>
              <w:numPr>
                <w:ilvl w:val="0"/>
                <w:numId w:val="1"/>
              </w:numPr>
              <w:spacing w:after="60"/>
            </w:pPr>
            <w:r>
              <w:rPr>
                <w:sz w:val="18"/>
                <w:szCs w:val="18"/>
              </w:rPr>
              <w:t xml:space="preserve">Asocia la transmutación del sistema feudal con el desarrollo del Humanismo, en el marco del surgimiento de los estados nacionales y las monarquías absolutas.</w:t>
            </w:r>
          </w:p>
          <w:p>
            <w:pPr>
              <w:pStyle w:val="ListParagraph"/>
              <w:numPr>
                <w:ilvl w:val="0"/>
                <w:numId w:val="1"/>
              </w:numPr>
              <w:spacing w:after="60"/>
            </w:pPr>
            <w:r>
              <w:rPr>
                <w:sz w:val="18"/>
                <w:szCs w:val="18"/>
              </w:rPr>
              <w:t xml:space="preserve">Reflexiona acerca de las causas que ocasionaron la búsqueda de rutas comerciales marítimas y su propagación y generalización durante los siglos XV y XVI.</w:t>
            </w:r>
          </w:p>
          <w:p>
            <w:pPr>
              <w:pStyle w:val="ListParagraph"/>
              <w:numPr>
                <w:ilvl w:val="0"/>
                <w:numId w:val="1"/>
              </w:numPr>
              <w:spacing w:after="60"/>
            </w:pPr>
            <w:r>
              <w:rPr>
                <w:sz w:val="18"/>
                <w:szCs w:val="18"/>
              </w:rPr>
              <w:t xml:space="preserve">Analiza la disputa entre los países hegemónicos por la posesión de territorios en América, África y Asia.</w:t>
            </w:r>
          </w:p>
          <w:p>
            <w:pPr>
              <w:pStyle w:val="ListParagraph"/>
              <w:numPr>
                <w:ilvl w:val="0"/>
                <w:numId w:val="1"/>
              </w:numPr>
              <w:spacing w:after="60"/>
            </w:pPr>
            <w:r>
              <w:rPr>
                <w:sz w:val="18"/>
                <w:szCs w:val="18"/>
              </w:rPr>
              <w:t xml:space="preserve">Caracteriza las colonizaciones realizadas por españoles, portugueses, ingleses, franceses y holandeses en América y en Asia.</w:t>
            </w:r>
          </w:p>
          <w:p>
            <w:pPr>
              <w:pStyle w:val="ListParagraph"/>
              <w:numPr>
                <w:ilvl w:val="0"/>
                <w:numId w:val="1"/>
              </w:numPr>
              <w:spacing w:after="60"/>
            </w:pPr>
            <w:r>
              <w:rPr>
                <w:sz w:val="18"/>
                <w:szCs w:val="18"/>
              </w:rPr>
              <w:t xml:space="preserve">Relaciona la expoliación de los recursos humanos y naturales de los territorios colonizados en América con la práctica de una política económica institucional de las naciones colonizadoras.</w:t>
            </w:r>
          </w:p>
          <w:p>
            <w:pPr>
              <w:pStyle w:val="ListParagraph"/>
              <w:numPr>
                <w:ilvl w:val="0"/>
                <w:numId w:val="1"/>
              </w:numPr>
              <w:spacing w:after="60"/>
            </w:pPr>
            <w:r>
              <w:rPr>
                <w:sz w:val="18"/>
                <w:szCs w:val="18"/>
              </w:rPr>
              <w:t xml:space="preserve">Revisa las causas y obtiene conclusiones de la concentración de la actividad colonizadora de diferentes potencias ultramarinas como en la Cuenca del Mar Caribe y el Sudeste Asiático.</w:t>
            </w:r>
          </w:p>
          <w:p>
            <w:pPr>
              <w:pStyle w:val="ListParagraph"/>
              <w:numPr>
                <w:ilvl w:val="0"/>
                <w:numId w:val="1"/>
              </w:numPr>
              <w:spacing w:after="60"/>
            </w:pPr>
            <w:r>
              <w:rPr>
                <w:sz w:val="18"/>
                <w:szCs w:val="18"/>
              </w:rPr>
              <w:t xml:space="preserve">Obtiene información y formula conclusiones acerca del tráfico de pieles y su incremento durante la colonización del noreste de Norteamérica.</w:t>
            </w:r>
          </w:p>
          <w:p>
            <w:pPr>
              <w:pStyle w:val="ListParagraph"/>
              <w:numPr>
                <w:ilvl w:val="0"/>
                <w:numId w:val="1"/>
              </w:numPr>
              <w:spacing w:after="60"/>
            </w:pPr>
            <w:r>
              <w:rPr>
                <w:sz w:val="18"/>
                <w:szCs w:val="18"/>
              </w:rPr>
              <w:t xml:space="preserve">Analiza las causas que llevaron a la intensificación del tráfico de esclavos y al uso del trabajo de éstos en los territorios colonizados de América.</w:t>
            </w:r>
          </w:p>
          <w:p>
            <w:pPr>
              <w:pStyle w:val="ListParagraph"/>
              <w:numPr>
                <w:ilvl w:val="0"/>
                <w:numId w:val="1"/>
              </w:numPr>
              <w:spacing w:after="60"/>
            </w:pPr>
            <w:r>
              <w:rPr>
                <w:sz w:val="18"/>
                <w:szCs w:val="18"/>
              </w:rPr>
              <w:t xml:space="preserve">Investiga los lugares de origen y de destino de la población africana reducida a la esclavitud en este periodo.</w:t>
            </w:r>
          </w:p>
          <w:p>
            <w:pPr>
              <w:pStyle w:val="ListParagraph"/>
              <w:numPr>
                <w:ilvl w:val="0"/>
                <w:numId w:val="1"/>
              </w:numPr>
              <w:spacing w:after="60"/>
            </w:pPr>
            <w:r>
              <w:rPr>
                <w:sz w:val="18"/>
                <w:szCs w:val="18"/>
              </w:rPr>
              <w:t xml:space="preserve">Problematiza la vida cotidiana de la población africana reducida a la esclavitud en América.</w:t>
            </w:r>
          </w:p>
          <w:p>
            <w:pPr>
              <w:pStyle w:val="ListParagraph"/>
              <w:numPr>
                <w:ilvl w:val="0"/>
                <w:numId w:val="1"/>
              </w:numPr>
              <w:spacing w:after="60"/>
            </w:pPr>
            <w:r>
              <w:rPr>
                <w:sz w:val="18"/>
                <w:szCs w:val="18"/>
              </w:rPr>
              <w:t xml:space="preserve">Caracteriza el establecimiento de las colonias inglesas en América.</w:t>
            </w:r>
          </w:p>
          <w:p>
            <w:pPr>
              <w:pStyle w:val="ListParagraph"/>
              <w:numPr>
                <w:ilvl w:val="0"/>
                <w:numId w:val="1"/>
              </w:numPr>
              <w:spacing w:after="60"/>
            </w:pPr>
            <w:r>
              <w:rPr>
                <w:sz w:val="18"/>
                <w:szCs w:val="18"/>
              </w:rPr>
              <w:t xml:space="preserve">Reflexiona y emite opiniones acerca de las relaciones de todo tipo que los colonos ingleses establecieron con la población indígena.</w:t>
            </w:r>
          </w:p>
          <w:p>
            <w:pPr>
              <w:pStyle w:val="ListParagraph"/>
              <w:numPr>
                <w:ilvl w:val="0"/>
                <w:numId w:val="1"/>
              </w:numPr>
              <w:spacing w:after="60"/>
            </w:pPr>
            <w:r>
              <w:rPr>
                <w:sz w:val="18"/>
                <w:szCs w:val="18"/>
              </w:rPr>
              <w:t xml:space="preserve">Compara y obtiene conclusiones acerca de la composición social que se conformó en las colonias inglesas en el Continente Americano.</w:t>
            </w:r>
          </w:p>
        </w:tc>
        <w:tc>
          <w:tcPr>
            <w:tcW w:type="dxa" w:w="1440"/>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c>
          <w:tcPr>
            <w:tcW w:type="dxa" w:w="2592"/>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r>
      <w:tr>
        <w:tc>
          <w:tcPr>
            <w:tcW w:type="dxa" w:w="3888"/>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b/>
                <w:bCs/>
                <w:sz w:val="19"/>
                <w:szCs w:val="19"/>
              </w:rPr>
              <w:t xml:space="preserve">3. Las gestas de resistencia y los movimientos independentistas.</w:t>
            </w:r>
          </w:p>
        </w:tc>
        <w:tc>
          <w:tcPr>
            <w:tcW w:type="dxa" w:w="6480"/>
            <w:tcBorders>
              <w:top w:val="single" w:color="4F5878" w:sz="4"/>
              <w:left w:val="single" w:color="4F5878" w:sz="4"/>
              <w:bottom w:val="single" w:color="4F5878" w:sz="4"/>
              <w:right w:val="single" w:color="4F5878" w:sz="4"/>
            </w:tcBorders>
            <w:tcMar>
              <w:top w:type="dxa" w:w="80"/>
              <w:left w:type="dxa" w:w="100"/>
              <w:bottom w:type="dxa" w:w="80"/>
              <w:right w:type="dxa" w:w="100"/>
            </w:tcMar>
          </w:tcPr>
          <w:p>
            <w:pPr>
              <w:pStyle w:val="ListParagraph"/>
              <w:numPr>
                <w:ilvl w:val="0"/>
                <w:numId w:val="1"/>
              </w:numPr>
              <w:spacing w:after="60"/>
            </w:pPr>
            <w:r>
              <w:rPr>
                <w:sz w:val="18"/>
                <w:szCs w:val="18"/>
              </w:rPr>
              <w:t xml:space="preserve">Elabora una cronología de las luchas de independencia de los países de Latinoamérica; incorpora datos, fechas, nombres, lugares y personajes históricos;</w:t>
            </w:r>
          </w:p>
          <w:p>
            <w:pPr>
              <w:pStyle w:val="ListParagraph"/>
              <w:numPr>
                <w:ilvl w:val="0"/>
                <w:numId w:val="1"/>
              </w:numPr>
              <w:spacing w:after="60"/>
            </w:pPr>
            <w:r>
              <w:rPr>
                <w:sz w:val="18"/>
                <w:szCs w:val="18"/>
              </w:rPr>
              <w:t xml:space="preserve">aspectos sincrónicos y diacrónicos, aspectos que permanecen o cambian y la duración.</w:t>
            </w:r>
          </w:p>
        </w:tc>
        <w:tc>
          <w:tcPr>
            <w:tcW w:type="dxa" w:w="1440"/>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c>
          <w:tcPr>
            <w:tcW w:type="dxa" w:w="2592"/>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r>
      <w:tr>
        <w:tc>
          <w:tcPr>
            <w:tcW w:type="dxa" w:w="3888"/>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b/>
                <w:bCs/>
                <w:sz w:val="19"/>
                <w:szCs w:val="19"/>
              </w:rPr>
              <w:t xml:space="preserve">4. Las revoluciones modernas y sus tendencias</w:t>
            </w:r>
          </w:p>
        </w:tc>
        <w:tc>
          <w:tcPr>
            <w:tcW w:type="dxa" w:w="6480"/>
            <w:tcBorders>
              <w:top w:val="single" w:color="4F5878" w:sz="4"/>
              <w:left w:val="single" w:color="4F5878" w:sz="4"/>
              <w:bottom w:val="single" w:color="4F5878" w:sz="4"/>
              <w:right w:val="single" w:color="4F5878" w:sz="4"/>
            </w:tcBorders>
            <w:tcMar>
              <w:top w:type="dxa" w:w="80"/>
              <w:left w:type="dxa" w:w="100"/>
              <w:bottom w:type="dxa" w:w="80"/>
              <w:right w:type="dxa" w:w="100"/>
            </w:tcMar>
          </w:tcPr>
          <w:p>
            <w:pPr>
              <w:pStyle w:val="ListParagraph"/>
              <w:numPr>
                <w:ilvl w:val="0"/>
                <w:numId w:val="1"/>
              </w:numPr>
              <w:spacing w:after="60"/>
            </w:pPr>
            <w:r>
              <w:rPr>
                <w:sz w:val="18"/>
                <w:szCs w:val="18"/>
              </w:rPr>
              <w:t xml:space="preserve">Ubica la confluencia de causas para que la primera Revolución Industrial suceda en Inglaterra y se desarrolle el sistema capitalista.</w:t>
            </w:r>
          </w:p>
          <w:p>
            <w:pPr>
              <w:pStyle w:val="ListParagraph"/>
              <w:numPr>
                <w:ilvl w:val="0"/>
                <w:numId w:val="1"/>
              </w:numPr>
              <w:spacing w:after="60"/>
            </w:pPr>
            <w:r>
              <w:rPr>
                <w:sz w:val="18"/>
                <w:szCs w:val="18"/>
              </w:rPr>
              <w:t xml:space="preserve">Explica la relevancia histórica de la Revolución Industrial en nuestras vidas.</w:t>
            </w:r>
          </w:p>
          <w:p>
            <w:pPr>
              <w:pStyle w:val="ListParagraph"/>
              <w:numPr>
                <w:ilvl w:val="0"/>
                <w:numId w:val="1"/>
              </w:numPr>
              <w:spacing w:after="60"/>
            </w:pPr>
            <w:r>
              <w:rPr>
                <w:sz w:val="18"/>
                <w:szCs w:val="18"/>
              </w:rPr>
              <w:t xml:space="preserve">Analiza y comprende por separado la causalidad y el sentido de la Independencia de los Estados Unidos y de la Revolución Francesa y el impacto que tuvieron en su momento en el mundo; identifica los elementos en común y los que marcan diferencias; construye una narrativa de estos procesos.</w:t>
            </w:r>
          </w:p>
          <w:p>
            <w:pPr>
              <w:pStyle w:val="ListParagraph"/>
              <w:numPr>
                <w:ilvl w:val="0"/>
                <w:numId w:val="1"/>
              </w:numPr>
              <w:spacing w:after="60"/>
            </w:pPr>
            <w:r>
              <w:rPr>
                <w:sz w:val="18"/>
                <w:szCs w:val="18"/>
              </w:rPr>
              <w:t xml:space="preserve">Problematiza la irrupción de estas revoluciones con el uso de conceptos como cambios, permanencias, ruptura, viejo régimen, soberanía popular, esclavitud, igualdad, propiedad privada.</w:t>
            </w:r>
          </w:p>
          <w:p>
            <w:pPr>
              <w:pStyle w:val="ListParagraph"/>
              <w:numPr>
                <w:ilvl w:val="0"/>
                <w:numId w:val="1"/>
              </w:numPr>
              <w:spacing w:after="60"/>
            </w:pPr>
            <w:r>
              <w:rPr>
                <w:sz w:val="18"/>
                <w:szCs w:val="18"/>
              </w:rPr>
              <w:t xml:space="preserve">Relaciona los que a su juicio son aportes relevantes de estas revoluciones.</w:t>
            </w:r>
          </w:p>
          <w:p>
            <w:pPr>
              <w:pStyle w:val="ListParagraph"/>
              <w:numPr>
                <w:ilvl w:val="0"/>
                <w:numId w:val="1"/>
              </w:numPr>
              <w:spacing w:after="60"/>
            </w:pPr>
            <w:r>
              <w:rPr>
                <w:sz w:val="18"/>
                <w:szCs w:val="18"/>
              </w:rPr>
              <w:t xml:space="preserve">Analiza la Declaración de los Derechos del Hombre y del Ciudadano y genera hipótesis acerca de la ausencia explícita de las mujeres en el texto.</w:t>
            </w:r>
          </w:p>
          <w:p>
            <w:pPr>
              <w:pStyle w:val="ListParagraph"/>
              <w:numPr>
                <w:ilvl w:val="0"/>
                <w:numId w:val="1"/>
              </w:numPr>
              <w:spacing w:after="60"/>
            </w:pPr>
            <w:r>
              <w:rPr>
                <w:sz w:val="18"/>
                <w:szCs w:val="18"/>
              </w:rPr>
              <w:t xml:space="preserve">Analiza la consolidación de Francia como nación moderna y capitalista y relaciona el aporte a este proceso de las campañas militares que llevó a cabo Napoleón Bonaparte.</w:t>
            </w:r>
          </w:p>
          <w:p>
            <w:pPr>
              <w:pStyle w:val="ListParagraph"/>
              <w:numPr>
                <w:ilvl w:val="0"/>
                <w:numId w:val="1"/>
              </w:numPr>
              <w:spacing w:after="60"/>
            </w:pPr>
            <w:r>
              <w:rPr>
                <w:sz w:val="18"/>
                <w:szCs w:val="18"/>
              </w:rPr>
              <w:t xml:space="preserve">Explica cómo en el proceso de ascenso y consolidación del sistema capitalista y de la burguesía como clase dominante hubo segmentos sociales con una perspectiva diferente: socialistas utópicos, comunistas y anarquistas.</w:t>
            </w:r>
          </w:p>
          <w:p>
            <w:pPr>
              <w:pStyle w:val="ListParagraph"/>
              <w:numPr>
                <w:ilvl w:val="0"/>
                <w:numId w:val="1"/>
              </w:numPr>
              <w:spacing w:after="60"/>
            </w:pPr>
            <w:r>
              <w:rPr>
                <w:sz w:val="18"/>
                <w:szCs w:val="18"/>
              </w:rPr>
              <w:t xml:space="preserve">Analiza el proceso de expansión territorial de los Estados Unidos y los modelos de desarrollo económico de los estados del norte y del sur.</w:t>
            </w:r>
          </w:p>
          <w:p>
            <w:pPr>
              <w:pStyle w:val="ListParagraph"/>
              <w:numPr>
                <w:ilvl w:val="0"/>
                <w:numId w:val="1"/>
              </w:numPr>
              <w:spacing w:after="60"/>
            </w:pPr>
            <w:r>
              <w:rPr>
                <w:sz w:val="18"/>
                <w:szCs w:val="18"/>
              </w:rPr>
              <w:t xml:space="preserve">Identifica desde qué perspectiva estaba planteada la abolición de la esclavitud impulsada por los estados del norte.</w:t>
            </w:r>
          </w:p>
          <w:p>
            <w:pPr>
              <w:pStyle w:val="ListParagraph"/>
              <w:numPr>
                <w:ilvl w:val="0"/>
                <w:numId w:val="1"/>
              </w:numPr>
              <w:spacing w:after="60"/>
            </w:pPr>
            <w:r>
              <w:rPr>
                <w:sz w:val="18"/>
                <w:szCs w:val="18"/>
              </w:rPr>
              <w:t xml:space="preserve">Analiza los resultados de la Guerra Civil Estadounidense y determina la perspectiva histórica de esta nación.</w:t>
            </w:r>
          </w:p>
          <w:p>
            <w:pPr>
              <w:pStyle w:val="ListParagraph"/>
              <w:numPr>
                <w:ilvl w:val="0"/>
                <w:numId w:val="1"/>
              </w:numPr>
              <w:spacing w:after="60"/>
            </w:pPr>
            <w:r>
              <w:rPr>
                <w:sz w:val="18"/>
                <w:szCs w:val="18"/>
              </w:rPr>
              <w:t xml:space="preserve">Reflexiona qué tanto se modificaron las condiciones de vida de la población de origen africano en los Estados Unidos de América.</w:t>
            </w:r>
          </w:p>
          <w:p>
            <w:pPr>
              <w:pStyle w:val="ListParagraph"/>
              <w:numPr>
                <w:ilvl w:val="0"/>
                <w:numId w:val="1"/>
              </w:numPr>
              <w:spacing w:after="60"/>
            </w:pPr>
            <w:r>
              <w:rPr>
                <w:sz w:val="18"/>
                <w:szCs w:val="18"/>
              </w:rPr>
              <w:t xml:space="preserve">Relaciona la creciente industrialización de los países capitalistas y la colonización de África en la segunda mitad del siglo XIX.</w:t>
            </w:r>
          </w:p>
          <w:p>
            <w:pPr>
              <w:pStyle w:val="ListParagraph"/>
              <w:numPr>
                <w:ilvl w:val="0"/>
                <w:numId w:val="1"/>
              </w:numPr>
              <w:spacing w:after="60"/>
            </w:pPr>
            <w:r>
              <w:rPr>
                <w:sz w:val="18"/>
                <w:szCs w:val="18"/>
              </w:rPr>
              <w:t xml:space="preserve">Analiza y comprende la causalidad de los procesos de integración nacional de Italia y Alemania y comprende cómo estos se convierten en causas de hechos más complejos.</w:t>
            </w:r>
          </w:p>
          <w:p>
            <w:pPr>
              <w:pStyle w:val="ListParagraph"/>
              <w:numPr>
                <w:ilvl w:val="0"/>
                <w:numId w:val="1"/>
              </w:numPr>
              <w:spacing w:after="60"/>
            </w:pPr>
            <w:r>
              <w:rPr>
                <w:sz w:val="18"/>
                <w:szCs w:val="18"/>
              </w:rPr>
              <w:t xml:space="preserve">Reconoce en el establecimiento de la Comuna de París en 1871 la expresión de una forma de gobierno alternativo al de la burguesía.</w:t>
            </w:r>
          </w:p>
        </w:tc>
        <w:tc>
          <w:tcPr>
            <w:tcW w:type="dxa" w:w="1440"/>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c>
          <w:tcPr>
            <w:tcW w:type="dxa" w:w="2592"/>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r>
      <w:tr>
        <w:tc>
          <w:tcPr>
            <w:tcW w:type="dxa" w:w="3888"/>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b/>
                <w:bCs/>
                <w:sz w:val="19"/>
                <w:szCs w:val="19"/>
              </w:rPr>
              <w:t xml:space="preserve">5. Las tensiones en el siglo XX.</w:t>
            </w:r>
          </w:p>
        </w:tc>
        <w:tc>
          <w:tcPr>
            <w:tcW w:type="dxa" w:w="6480"/>
            <w:tcBorders>
              <w:top w:val="single" w:color="4F5878" w:sz="4"/>
              <w:left w:val="single" w:color="4F5878" w:sz="4"/>
              <w:bottom w:val="single" w:color="4F5878" w:sz="4"/>
              <w:right w:val="single" w:color="4F5878" w:sz="4"/>
            </w:tcBorders>
            <w:tcMar>
              <w:top w:type="dxa" w:w="80"/>
              <w:left w:type="dxa" w:w="100"/>
              <w:bottom w:type="dxa" w:w="80"/>
              <w:right w:type="dxa" w:w="100"/>
            </w:tcMar>
          </w:tcPr>
          <w:p>
            <w:pPr>
              <w:pStyle w:val="ListParagraph"/>
              <w:numPr>
                <w:ilvl w:val="0"/>
                <w:numId w:val="1"/>
              </w:numPr>
              <w:spacing w:after="60"/>
            </w:pPr>
            <w:r>
              <w:rPr>
                <w:sz w:val="18"/>
                <w:szCs w:val="18"/>
              </w:rPr>
              <w:t xml:space="preserve">Analiza y comprende las causas y consecuencias de la Segunda Revolución Industrial y su aporte a la consolidación del capitalismo como sistema económico mundial.</w:t>
            </w:r>
          </w:p>
          <w:p>
            <w:pPr>
              <w:pStyle w:val="ListParagraph"/>
              <w:numPr>
                <w:ilvl w:val="0"/>
                <w:numId w:val="1"/>
              </w:numPr>
              <w:spacing w:after="60"/>
            </w:pPr>
            <w:r>
              <w:rPr>
                <w:sz w:val="18"/>
                <w:szCs w:val="18"/>
              </w:rPr>
              <w:t xml:space="preserve">Explica las causas de la Primera Guerra Mundial y las vincula históricamente con hechos o procesos pasados o que suceden simultáneamente con los que están relacionados.</w:t>
            </w:r>
          </w:p>
          <w:p>
            <w:pPr>
              <w:pStyle w:val="ListParagraph"/>
              <w:numPr>
                <w:ilvl w:val="0"/>
                <w:numId w:val="1"/>
              </w:numPr>
              <w:spacing w:after="60"/>
            </w:pPr>
            <w:r>
              <w:rPr>
                <w:sz w:val="18"/>
                <w:szCs w:val="18"/>
              </w:rPr>
              <w:t xml:space="preserve">Amplía el alcance de este tiempo histórico al vincular las causas con hechos o sucesos posteriores con los que tengan relación.</w:t>
            </w:r>
          </w:p>
          <w:p>
            <w:pPr>
              <w:pStyle w:val="ListParagraph"/>
              <w:numPr>
                <w:ilvl w:val="0"/>
                <w:numId w:val="1"/>
              </w:numPr>
              <w:spacing w:after="60"/>
            </w:pPr>
            <w:r>
              <w:rPr>
                <w:sz w:val="18"/>
                <w:szCs w:val="18"/>
              </w:rPr>
              <w:t xml:space="preserve">Elabora una cronología de los eventos que abarca la Primera Guerra Mundial y la utiliza de base para entramar los hechos contenidos con las consecuencias de este conflicto bélico.</w:t>
            </w:r>
          </w:p>
          <w:p>
            <w:pPr>
              <w:pStyle w:val="ListParagraph"/>
              <w:numPr>
                <w:ilvl w:val="0"/>
                <w:numId w:val="1"/>
              </w:numPr>
              <w:spacing w:after="60"/>
            </w:pPr>
            <w:r>
              <w:rPr>
                <w:sz w:val="18"/>
                <w:szCs w:val="18"/>
              </w:rPr>
              <w:t xml:space="preserve">Compara la situación en que se colocaron los países participantes al final de la guerra.</w:t>
            </w:r>
          </w:p>
          <w:p>
            <w:pPr>
              <w:pStyle w:val="ListParagraph"/>
              <w:numPr>
                <w:ilvl w:val="0"/>
                <w:numId w:val="1"/>
              </w:numPr>
              <w:spacing w:after="60"/>
            </w:pPr>
            <w:r>
              <w:rPr>
                <w:sz w:val="18"/>
                <w:szCs w:val="18"/>
              </w:rPr>
              <w:t xml:space="preserve">Aborda la Revolución Rusa de 1917 como un punto de ruptura en la historia de esta nación y del mundo.</w:t>
            </w:r>
          </w:p>
          <w:p>
            <w:pPr>
              <w:pStyle w:val="ListParagraph"/>
              <w:numPr>
                <w:ilvl w:val="0"/>
                <w:numId w:val="1"/>
              </w:numPr>
              <w:spacing w:after="60"/>
            </w:pPr>
            <w:r>
              <w:rPr>
                <w:sz w:val="18"/>
                <w:szCs w:val="18"/>
              </w:rPr>
              <w:t xml:space="preserve">Genera hipótesis acerca del surgimiento de la Unión Soviética como contrapeso del sistema capitalista.</w:t>
            </w:r>
          </w:p>
          <w:p>
            <w:pPr>
              <w:pStyle w:val="ListParagraph"/>
              <w:numPr>
                <w:ilvl w:val="0"/>
                <w:numId w:val="1"/>
              </w:numPr>
              <w:spacing w:after="60"/>
            </w:pPr>
            <w:r>
              <w:rPr>
                <w:sz w:val="18"/>
                <w:szCs w:val="18"/>
              </w:rPr>
              <w:t xml:space="preserve">Explica la lógica en la que se desarrolla la crisis de 1929 y describe sus efectos.</w:t>
            </w:r>
          </w:p>
          <w:p>
            <w:pPr>
              <w:pStyle w:val="ListParagraph"/>
              <w:numPr>
                <w:ilvl w:val="0"/>
                <w:numId w:val="1"/>
              </w:numPr>
              <w:spacing w:after="60"/>
            </w:pPr>
            <w:r>
              <w:rPr>
                <w:sz w:val="18"/>
                <w:szCs w:val="18"/>
              </w:rPr>
              <w:t xml:space="preserve">Problematiza acerca del surgimiento del fascismo y las características que adquirió en Alemania, Italia y España.</w:t>
            </w:r>
          </w:p>
          <w:p>
            <w:pPr>
              <w:pStyle w:val="ListParagraph"/>
              <w:numPr>
                <w:ilvl w:val="0"/>
                <w:numId w:val="1"/>
              </w:numPr>
              <w:spacing w:after="60"/>
            </w:pPr>
            <w:r>
              <w:rPr>
                <w:sz w:val="18"/>
                <w:szCs w:val="18"/>
              </w:rPr>
              <w:t xml:space="preserve">Recaba información y genera hipótesis acerca de la Guerra Civil Española.</w:t>
            </w:r>
          </w:p>
          <w:p>
            <w:pPr>
              <w:pStyle w:val="ListParagraph"/>
              <w:numPr>
                <w:ilvl w:val="0"/>
                <w:numId w:val="1"/>
              </w:numPr>
              <w:spacing w:after="60"/>
            </w:pPr>
            <w:r>
              <w:rPr>
                <w:sz w:val="18"/>
                <w:szCs w:val="18"/>
              </w:rPr>
              <w:t xml:space="preserve">Valora la actitud del gobierno de Lázaro Cárdenas al recibir al exilio español y el impacto de este en la sociedad mexicana.</w:t>
            </w:r>
          </w:p>
          <w:p>
            <w:pPr>
              <w:pStyle w:val="ListParagraph"/>
              <w:numPr>
                <w:ilvl w:val="0"/>
                <w:numId w:val="1"/>
              </w:numPr>
              <w:spacing w:after="60"/>
            </w:pPr>
            <w:r>
              <w:rPr>
                <w:sz w:val="18"/>
                <w:szCs w:val="18"/>
              </w:rPr>
              <w:t xml:space="preserve">Explica las causas de la Segunda Guerra Mundial y las vincula históricamente con causas o consecuencias de la Primera Guerra Mundial.</w:t>
            </w:r>
          </w:p>
          <w:p>
            <w:pPr>
              <w:pStyle w:val="ListParagraph"/>
              <w:numPr>
                <w:ilvl w:val="0"/>
                <w:numId w:val="1"/>
              </w:numPr>
              <w:spacing w:after="60"/>
            </w:pPr>
            <w:r>
              <w:rPr>
                <w:sz w:val="18"/>
                <w:szCs w:val="18"/>
              </w:rPr>
              <w:t xml:space="preserve">Diseña un organizador cronológico de los eventos que abarca la Segunda Guerra Mundial y lo utiliza para dar cuenta del desarrollo del conflicto.</w:t>
            </w:r>
          </w:p>
          <w:p>
            <w:pPr>
              <w:pStyle w:val="ListParagraph"/>
              <w:numPr>
                <w:ilvl w:val="0"/>
                <w:numId w:val="1"/>
              </w:numPr>
              <w:spacing w:after="60"/>
            </w:pPr>
            <w:r>
              <w:rPr>
                <w:sz w:val="18"/>
                <w:szCs w:val="18"/>
              </w:rPr>
              <w:t xml:space="preserve">Establece similitudes y diferencias entre las consecuencias de la Primera y la Segunda Guerra Mundial.</w:t>
            </w:r>
          </w:p>
          <w:p>
            <w:pPr>
              <w:pStyle w:val="ListParagraph"/>
              <w:numPr>
                <w:ilvl w:val="0"/>
                <w:numId w:val="1"/>
              </w:numPr>
              <w:spacing w:after="60"/>
            </w:pPr>
            <w:r>
              <w:rPr>
                <w:sz w:val="18"/>
                <w:szCs w:val="18"/>
              </w:rPr>
              <w:t xml:space="preserve">Indaga las causas de la incorporación de México en el conflicto y la forma en que lo hizo.</w:t>
            </w:r>
          </w:p>
          <w:p>
            <w:pPr>
              <w:pStyle w:val="ListParagraph"/>
              <w:numPr>
                <w:ilvl w:val="0"/>
                <w:numId w:val="1"/>
              </w:numPr>
              <w:spacing w:after="60"/>
            </w:pPr>
            <w:r>
              <w:rPr>
                <w:sz w:val="18"/>
                <w:szCs w:val="18"/>
              </w:rPr>
              <w:t xml:space="preserve">Genera hipótesis acerca del periodo histórico conocido como posguerra; usa conceptos como mundo bipolar, conformación de bloques, Guerra Fría, sistemas de alianzas y conflictos regionales.</w:t>
            </w:r>
          </w:p>
          <w:p>
            <w:pPr>
              <w:pStyle w:val="ListParagraph"/>
              <w:numPr>
                <w:ilvl w:val="0"/>
                <w:numId w:val="1"/>
              </w:numPr>
              <w:spacing w:after="60"/>
            </w:pPr>
            <w:r>
              <w:rPr>
                <w:sz w:val="18"/>
                <w:szCs w:val="18"/>
              </w:rPr>
              <w:t xml:space="preserve">Analiza el proceso en que los comunistas chinos toman el poder en este país y su inserción en el ámbito internacional.</w:t>
            </w:r>
          </w:p>
          <w:p>
            <w:pPr>
              <w:pStyle w:val="ListParagraph"/>
              <w:numPr>
                <w:ilvl w:val="0"/>
                <w:numId w:val="1"/>
              </w:numPr>
              <w:spacing w:after="60"/>
            </w:pPr>
            <w:r>
              <w:rPr>
                <w:sz w:val="18"/>
                <w:szCs w:val="18"/>
              </w:rPr>
              <w:t xml:space="preserve">Indaga acerca de la descolonización de África y advierte cómo se insertan en este proceso las tensiones de la posguerra.</w:t>
            </w:r>
          </w:p>
          <w:p>
            <w:pPr>
              <w:pStyle w:val="ListParagraph"/>
              <w:numPr>
                <w:ilvl w:val="0"/>
                <w:numId w:val="1"/>
              </w:numPr>
              <w:spacing w:after="60"/>
            </w:pPr>
            <w:r>
              <w:rPr>
                <w:sz w:val="18"/>
                <w:szCs w:val="18"/>
              </w:rPr>
              <w:t xml:space="preserve">Analiza las causas y el sentido de la carrera armamentista nuclear desatada después de la Segunda Guerra Mundial y advierte sus implicaciones en el presente.</w:t>
            </w:r>
          </w:p>
          <w:p>
            <w:pPr>
              <w:pStyle w:val="ListParagraph"/>
              <w:numPr>
                <w:ilvl w:val="0"/>
                <w:numId w:val="1"/>
              </w:numPr>
              <w:spacing w:after="60"/>
            </w:pPr>
            <w:r>
              <w:rPr>
                <w:sz w:val="18"/>
                <w:szCs w:val="18"/>
              </w:rPr>
              <w:t xml:space="preserve">Indaga causas, desarrollo y desenlace de la guerra de Corea y establece su vinculación con la Guerra Fría.</w:t>
            </w:r>
          </w:p>
          <w:p>
            <w:pPr>
              <w:pStyle w:val="ListParagraph"/>
              <w:numPr>
                <w:ilvl w:val="0"/>
                <w:numId w:val="1"/>
              </w:numPr>
              <w:spacing w:after="60"/>
            </w:pPr>
            <w:r>
              <w:rPr>
                <w:sz w:val="18"/>
                <w:szCs w:val="18"/>
              </w:rPr>
              <w:t xml:space="preserve">Indaga causas, desarrollo y desenlace de la guerra de Vietnam; reflexiona y obtiene conclusiones respecto de la intervención de Francia y Estados Unidos en este conflicto.</w:t>
            </w:r>
          </w:p>
          <w:p>
            <w:pPr>
              <w:pStyle w:val="ListParagraph"/>
              <w:numPr>
                <w:ilvl w:val="0"/>
                <w:numId w:val="1"/>
              </w:numPr>
              <w:spacing w:after="60"/>
            </w:pPr>
            <w:r>
              <w:rPr>
                <w:sz w:val="18"/>
                <w:szCs w:val="18"/>
              </w:rPr>
              <w:t xml:space="preserve">Genera hipótesis e interpretaciones de la postura estadounidense acerca de la Revolución Cubana y las razones para mantener un bloqueo económico sobre la isla desde 1962.</w:t>
            </w:r>
          </w:p>
          <w:p>
            <w:pPr>
              <w:pStyle w:val="ListParagraph"/>
              <w:numPr>
                <w:ilvl w:val="0"/>
                <w:numId w:val="1"/>
              </w:numPr>
              <w:spacing w:after="60"/>
            </w:pPr>
            <w:r>
              <w:rPr>
                <w:sz w:val="18"/>
                <w:szCs w:val="18"/>
              </w:rPr>
              <w:t xml:space="preserve">Elabora un organizador cronológico de la carrera espacial e inserta este proceso en el contexto del mundo bipolar.</w:t>
            </w:r>
          </w:p>
          <w:p>
            <w:pPr>
              <w:pStyle w:val="ListParagraph"/>
              <w:numPr>
                <w:ilvl w:val="0"/>
                <w:numId w:val="1"/>
              </w:numPr>
              <w:spacing w:after="60"/>
            </w:pPr>
            <w:r>
              <w:rPr>
                <w:sz w:val="18"/>
                <w:szCs w:val="18"/>
              </w:rPr>
              <w:t xml:space="preserve">Analiza y comprende las causas de la desintegración del bloque socialista; interpreta el simbolismo de la caída del muro de Berlín.</w:t>
            </w:r>
          </w:p>
          <w:p>
            <w:pPr>
              <w:pStyle w:val="ListParagraph"/>
              <w:numPr>
                <w:ilvl w:val="0"/>
                <w:numId w:val="1"/>
              </w:numPr>
              <w:spacing w:after="60"/>
            </w:pPr>
            <w:r>
              <w:rPr>
                <w:sz w:val="18"/>
                <w:szCs w:val="18"/>
              </w:rPr>
              <w:t xml:space="preserve">Ubica causas, desarrollo y desenlace de la guerra del Golfo Pérsico (1990- 1991) y la contextualiza en un escenario unipolar.</w:t>
            </w:r>
          </w:p>
          <w:p>
            <w:pPr>
              <w:pStyle w:val="ListParagraph"/>
              <w:numPr>
                <w:ilvl w:val="0"/>
                <w:numId w:val="1"/>
              </w:numPr>
              <w:spacing w:after="60"/>
            </w:pPr>
            <w:r>
              <w:rPr>
                <w:sz w:val="18"/>
                <w:szCs w:val="18"/>
              </w:rPr>
              <w:t xml:space="preserve">Analiza la elección de Nelson Mandela como presidente de Sudáfrica el 10 de mayo de 1994.</w:t>
            </w:r>
          </w:p>
          <w:p>
            <w:pPr>
              <w:pStyle w:val="ListParagraph"/>
              <w:numPr>
                <w:ilvl w:val="0"/>
                <w:numId w:val="1"/>
              </w:numPr>
              <w:spacing w:after="60"/>
            </w:pPr>
            <w:r>
              <w:rPr>
                <w:sz w:val="18"/>
                <w:szCs w:val="18"/>
              </w:rPr>
              <w:t xml:space="preserve">Analiza y comprende las causas de la creación de la Unión Europea.</w:t>
            </w:r>
          </w:p>
        </w:tc>
        <w:tc>
          <w:tcPr>
            <w:tcW w:type="dxa" w:w="1440"/>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c>
          <w:tcPr>
            <w:tcW w:type="dxa" w:w="2592"/>
            <w:tcBorders>
              <w:top w:val="single" w:color="4F5878" w:sz="4"/>
              <w:left w:val="single" w:color="4F5878" w:sz="4"/>
              <w:bottom w:val="single" w:color="4F5878" w:sz="4"/>
              <w:right w:val="single" w:color="4F5878" w:sz="4"/>
            </w:tcBorders>
            <w:tcMar>
              <w:top w:type="dxa" w:w="80"/>
              <w:left w:type="dxa" w:w="100"/>
              <w:bottom w:type="dxa" w:w="80"/>
              <w:right w:type="dxa" w:w="100"/>
            </w:tcMar>
          </w:tcPr>
          <w:p>
            <w:pPr>
              <w:spacing w:after="60"/>
            </w:pPr>
            <w:r>
              <w:rPr>
                <w:sz w:val="19"/>
                <w:szCs w:val="19"/>
              </w:rPr>
              <w:t xml:space="preserve"/>
            </w:r>
          </w:p>
        </w:tc>
      </w:tr>
    </w:tbl>
    <w:p>
      <w:pPr>
        <w:spacing w:after="60"/>
      </w:pPr>
      <w:r>
        <w:rPr>
          <w:color w:val="4F5878"/>
          <w:sz w:val="16"/>
          <w:szCs w:val="16"/>
        </w:rPr>
        <w:t xml:space="preserve">En 3.er grado el programa no tiene PDA para: 6. La construcción histórica de las ideas sobre las juventudes e infancias. 7. Las mujeres y sus historias. 8. Las luchas de las mujeres por sus derechos. 9. Relaciones de poder y lucha por los derechos de grupos históricamente discriminados o subrepresentados. 10. Discriminación, racismo, sexismo y prejuicios como construcciones históricas. 11. Movilidades humanas, migraciones y nuevos escenarios para la vida. 12. Amor, amistad, familias y relaciones entre las personas en la historia.</w:t>
      </w:r>
    </w:p>
    <w:p>
      <w:pPr>
        <w:spacing w:after="60"/>
      </w:pPr>
      <w:r>
        <w:rPr>
          <w:color w:val="4F5878"/>
          <w:sz w:val="16"/>
          <w:szCs w:val="16"/>
        </w:rPr>
        <w:t xml:space="preserve">Fuente: anexo del Acuerdo 08/08/23, Diario Oficial de la Federación, 15 de agosto de 2023 (https://dof.gob.mx/2023/SEP/ANEXO_ACUERDO_080823_FASES_2_A_6.pdf), según Programa de Estudio para la Educación Secundaria: Programa Sintético de la Fase 6 (SEP, Dirección General de Desarrollo Curricular, primera edición 2024) (https://educacionbasica.sep.gob.mx/wp-content/uploads/2024/06/Programa_Sintetico_Fase_6.pdf), consultada el 1 de octubre de 2026. Texto oficial reproducido sin cambios (Ley Federal del Derecho de Autor, art. 14, fracc. VIII).</w:t>
      </w:r>
    </w:p>
    <w:sectPr>
      <w:footerReference w:type="default" r:id="rId6"/>
      <w:pgSz w:w="15840" w:h="12240" w:orient="landscape"/>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4F5878"/>
        <w:sz w:val="15"/>
        <w:szCs w:val="15"/>
      </w:rPr>
      <w:t xml:space="preserve">aulapedia.com/mexico/secundaria/historia/ · Recurso gratuito, uso libre en el aula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B2A57"/>
        <w:sz w:val="19"/>
        <w:szCs w:val="19"/>
      </w:rPr>
    </w:rPrDefault>
    <w:pPrDefault/>
  </w:docDefaults>
  <w:style w:type="paragraph" w:styleId="Normal" w:default="1">
    <w:name w:val="Normal"/>
    <w:qFormat/>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00"/>
    </w:pPr>
    <w:rPr>
      <w:rFonts w:ascii="Calibri" w:cs="Calibri" w:eastAsia="Calibri" w:hAnsi="Calibri"/>
      <w:b/>
      <w:bCs/>
      <w:color w:val="1B2A57"/>
      <w:sz w:val="34"/>
      <w:szCs w:val="34"/>
    </w:rPr>
  </w:style>
  <w:style w:type="paragraph" w:styleId="Heading1">
    <w:name w:val="Heading 1"/>
    <w:basedOn w:val="Normal"/>
    <w:next w:val="Normal"/>
    <w:pPr>
      <w:keepNext/>
    </w:pPr>
    <w:rPr>
      <w:rFonts w:ascii="Calibri" w:cs="Calibri" w:eastAsia="Calibri" w:hAnsi="Calibri"/>
      <w:b/>
      <w:bCs/>
      <w:color w:val="1B2A57"/>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Historia: contenidos y PDA</dc:title>
  <dc:creator>Aulapedia</dc:creator>
  <dc:description>Programa sintético de la fase 6 · Historia</dc:description>
  <cp:lastModifiedBy>Un-named</cp:lastModifiedBy>
  <cp:revision>1</cp:revision>
  <dcterms:created xsi:type="dcterms:W3CDTF">2026-10-28T16:16:21.377Z</dcterms:created>
  <dcterms:modified xsi:type="dcterms:W3CDTF">2026-10-28T16:16:21.377Z</dcterms:modified>
</cp:coreProperties>
</file>

<file path=docProps/custom.xml><?xml version="1.0" encoding="utf-8"?>
<Properties xmlns="http://schemas.openxmlformats.org/officeDocument/2006/custom-properties" xmlns:vt="http://schemas.openxmlformats.org/officeDocument/2006/docPropsVTypes"/>
</file>